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cs="Arial" w:hAnsiTheme="majorEastAsia"/>
          <w:b/>
          <w:color w:val="222222"/>
          <w:sz w:val="44"/>
          <w:szCs w:val="44"/>
        </w:rPr>
      </w:pPr>
      <w:r>
        <w:rPr>
          <w:rFonts w:hint="eastAsia" w:ascii="仿宋_GB2312" w:eastAsia="仿宋_GB2312" w:cs="Arial" w:hAnsiTheme="majorEastAsia"/>
          <w:b/>
          <w:color w:val="222222"/>
          <w:sz w:val="44"/>
          <w:szCs w:val="44"/>
        </w:rPr>
        <w:t>产权管理与考核评价科</w:t>
      </w:r>
    </w:p>
    <w:p>
      <w:pPr>
        <w:jc w:val="both"/>
        <w:rPr>
          <w:rFonts w:hint="eastAsia"/>
          <w:b/>
          <w:sz w:val="44"/>
          <w:szCs w:val="44"/>
        </w:rPr>
      </w:pPr>
    </w:p>
    <w:p>
      <w:pPr>
        <w:ind w:firstLine="1325" w:firstLineChars="300"/>
        <w:jc w:val="both"/>
        <w:rPr>
          <w:b/>
          <w:sz w:val="44"/>
          <w:szCs w:val="44"/>
        </w:rPr>
      </w:pPr>
      <w:bookmarkStart w:id="0" w:name="_GoBack"/>
      <w:bookmarkEnd w:id="0"/>
      <w:r>
        <w:rPr>
          <w:rFonts w:hint="eastAsia"/>
          <w:b/>
          <w:sz w:val="44"/>
          <w:szCs w:val="44"/>
        </w:rPr>
        <w:t>国家出资企业产权登记办事指南</w:t>
      </w:r>
    </w:p>
    <w:p>
      <w:pPr>
        <w:rPr>
          <w:rFonts w:ascii="仿宋_GB2312" w:eastAsia="仿宋_GB2312"/>
          <w:b/>
          <w:sz w:val="32"/>
          <w:szCs w:val="32"/>
        </w:rPr>
      </w:pPr>
    </w:p>
    <w:p>
      <w:pPr>
        <w:rPr>
          <w:rFonts w:ascii="仿宋_GB2312" w:eastAsia="仿宋_GB2312"/>
          <w:b/>
          <w:sz w:val="32"/>
          <w:szCs w:val="32"/>
        </w:rPr>
      </w:pPr>
      <w:r>
        <w:rPr>
          <w:rFonts w:hint="eastAsia" w:ascii="仿宋_GB2312" w:eastAsia="仿宋_GB2312"/>
          <w:b/>
          <w:sz w:val="32"/>
          <w:szCs w:val="32"/>
        </w:rPr>
        <w:t>一、事项名称</w:t>
      </w:r>
    </w:p>
    <w:p>
      <w:pPr>
        <w:rPr>
          <w:rFonts w:ascii="仿宋_GB2312" w:eastAsia="仿宋_GB2312"/>
          <w:sz w:val="32"/>
          <w:szCs w:val="32"/>
        </w:rPr>
      </w:pPr>
      <w:r>
        <w:rPr>
          <w:rFonts w:hint="eastAsia" w:ascii="仿宋_GB2312" w:eastAsia="仿宋_GB2312"/>
          <w:b/>
          <w:sz w:val="32"/>
          <w:szCs w:val="32"/>
        </w:rPr>
        <w:t xml:space="preserve">    </w:t>
      </w:r>
      <w:r>
        <w:rPr>
          <w:rFonts w:hint="eastAsia" w:ascii="仿宋_GB2312" w:eastAsia="仿宋_GB2312"/>
          <w:sz w:val="32"/>
          <w:szCs w:val="32"/>
        </w:rPr>
        <w:t>国家出资企业产权登记（市管企业和市属企业）。</w:t>
      </w:r>
    </w:p>
    <w:p>
      <w:pPr>
        <w:rPr>
          <w:rFonts w:ascii="仿宋_GB2312" w:eastAsia="仿宋_GB2312"/>
          <w:b/>
          <w:sz w:val="32"/>
          <w:szCs w:val="32"/>
        </w:rPr>
      </w:pPr>
      <w:r>
        <w:rPr>
          <w:rFonts w:hint="eastAsia" w:ascii="仿宋_GB2312" w:eastAsia="仿宋_GB2312"/>
          <w:b/>
          <w:sz w:val="32"/>
          <w:szCs w:val="32"/>
        </w:rPr>
        <w:t>二、政策依据</w:t>
      </w:r>
    </w:p>
    <w:p>
      <w:pPr>
        <w:ind w:firstLine="640" w:firstLineChars="200"/>
        <w:rPr>
          <w:rFonts w:ascii="仿宋_GB2312" w:eastAsia="仿宋_GB2312"/>
          <w:sz w:val="32"/>
          <w:szCs w:val="32"/>
        </w:rPr>
      </w:pPr>
      <w:r>
        <w:rPr>
          <w:rFonts w:hint="eastAsia" w:ascii="仿宋_GB2312" w:eastAsia="仿宋_GB2312"/>
          <w:sz w:val="32"/>
          <w:szCs w:val="32"/>
        </w:rPr>
        <w:t>《国家出资企业产权登记管理暂行办法》国务院（国资委令第29号） 。</w:t>
      </w:r>
    </w:p>
    <w:p>
      <w:pPr>
        <w:rPr>
          <w:rFonts w:ascii="仿宋_GB2312" w:eastAsia="仿宋_GB2312"/>
          <w:b/>
          <w:sz w:val="32"/>
          <w:szCs w:val="32"/>
        </w:rPr>
      </w:pPr>
      <w:r>
        <w:rPr>
          <w:rFonts w:hint="eastAsia" w:ascii="仿宋_GB2312" w:eastAsia="仿宋_GB2312"/>
          <w:b/>
          <w:sz w:val="32"/>
          <w:szCs w:val="32"/>
        </w:rPr>
        <w:t>三、申报材料</w:t>
      </w:r>
    </w:p>
    <w:p>
      <w:pPr>
        <w:ind w:firstLine="630"/>
        <w:rPr>
          <w:rFonts w:ascii="仿宋_GB2312" w:eastAsia="仿宋_GB2312"/>
          <w:sz w:val="32"/>
          <w:szCs w:val="32"/>
        </w:rPr>
      </w:pPr>
      <w:r>
        <w:rPr>
          <w:rFonts w:hint="eastAsia" w:ascii="仿宋_GB2312" w:eastAsia="仿宋_GB2312"/>
          <w:sz w:val="32"/>
          <w:szCs w:val="32"/>
        </w:rPr>
        <w:t>（一）书面申请;</w:t>
      </w:r>
    </w:p>
    <w:p>
      <w:pPr>
        <w:ind w:firstLine="640" w:firstLineChars="200"/>
        <w:rPr>
          <w:rFonts w:ascii="仿宋_GB2312" w:eastAsia="仿宋_GB2312"/>
          <w:sz w:val="32"/>
          <w:szCs w:val="32"/>
        </w:rPr>
      </w:pPr>
      <w:r>
        <w:rPr>
          <w:rFonts w:hint="eastAsia" w:ascii="仿宋_GB2312" w:eastAsia="仿宋_GB2312"/>
          <w:sz w:val="32"/>
          <w:szCs w:val="32"/>
        </w:rPr>
        <w:t>（二）企业成立或变动行为决策文件;</w:t>
      </w:r>
    </w:p>
    <w:p>
      <w:pPr>
        <w:ind w:firstLine="630"/>
        <w:rPr>
          <w:rFonts w:ascii="仿宋_GB2312" w:eastAsia="仿宋_GB2312"/>
          <w:sz w:val="32"/>
          <w:szCs w:val="32"/>
        </w:rPr>
      </w:pPr>
      <w:r>
        <w:rPr>
          <w:rFonts w:hint="eastAsia" w:ascii="仿宋_GB2312" w:eastAsia="仿宋_GB2312"/>
          <w:sz w:val="32"/>
          <w:szCs w:val="32"/>
        </w:rPr>
        <w:t>（三）上年度审计报告;</w:t>
      </w:r>
    </w:p>
    <w:p>
      <w:pPr>
        <w:ind w:firstLine="640" w:firstLineChars="200"/>
        <w:rPr>
          <w:rFonts w:ascii="仿宋_GB2312" w:eastAsia="仿宋_GB2312"/>
          <w:sz w:val="32"/>
          <w:szCs w:val="32"/>
        </w:rPr>
      </w:pPr>
      <w:r>
        <w:rPr>
          <w:rFonts w:hint="eastAsia" w:ascii="仿宋_GB2312" w:eastAsia="仿宋_GB2312"/>
          <w:sz w:val="32"/>
          <w:szCs w:val="32"/>
        </w:rPr>
        <w:t>（四）验资报告或其他证明材料；</w:t>
      </w:r>
    </w:p>
    <w:p>
      <w:pPr>
        <w:ind w:firstLine="640" w:firstLineChars="200"/>
        <w:rPr>
          <w:rFonts w:ascii="仿宋_GB2312" w:eastAsia="仿宋_GB2312"/>
          <w:sz w:val="32"/>
          <w:szCs w:val="32"/>
        </w:rPr>
      </w:pPr>
      <w:r>
        <w:rPr>
          <w:rFonts w:hint="eastAsia" w:ascii="仿宋_GB2312" w:eastAsia="仿宋_GB2312"/>
          <w:sz w:val="32"/>
          <w:szCs w:val="32"/>
        </w:rPr>
        <w:t>（五）公司章程；</w:t>
      </w:r>
    </w:p>
    <w:p>
      <w:pPr>
        <w:ind w:firstLine="640" w:firstLineChars="200"/>
        <w:rPr>
          <w:rFonts w:ascii="仿宋_GB2312" w:eastAsia="仿宋_GB2312"/>
          <w:sz w:val="32"/>
          <w:szCs w:val="32"/>
        </w:rPr>
      </w:pPr>
      <w:r>
        <w:rPr>
          <w:rFonts w:hint="eastAsia" w:ascii="仿宋_GB2312" w:eastAsia="仿宋_GB2312"/>
          <w:sz w:val="32"/>
          <w:szCs w:val="32"/>
        </w:rPr>
        <w:t>（六）其他登记机关要求的资料。</w:t>
      </w:r>
    </w:p>
    <w:p>
      <w:pPr>
        <w:ind w:firstLine="643" w:firstLineChars="200"/>
        <w:rPr>
          <w:rFonts w:ascii="仿宋_GB2312" w:eastAsia="仿宋_GB2312"/>
          <w:b/>
          <w:sz w:val="32"/>
          <w:szCs w:val="32"/>
        </w:rPr>
      </w:pPr>
      <w:r>
        <w:rPr>
          <w:rFonts w:hint="eastAsia" w:ascii="仿宋_GB2312" w:eastAsia="仿宋_GB2312"/>
          <w:b/>
          <w:sz w:val="32"/>
          <w:szCs w:val="32"/>
        </w:rPr>
        <w:t>四、办事程序</w:t>
      </w:r>
    </w:p>
    <w:p>
      <w:pPr>
        <w:ind w:firstLine="640" w:firstLineChars="200"/>
        <w:rPr>
          <w:rFonts w:ascii="仿宋_GB2312" w:eastAsia="仿宋_GB2312"/>
          <w:sz w:val="32"/>
          <w:szCs w:val="32"/>
        </w:rPr>
      </w:pPr>
      <w:r>
        <w:rPr>
          <w:rFonts w:hint="eastAsia" w:ascii="仿宋_GB2312" w:eastAsia="仿宋_GB2312"/>
          <w:sz w:val="32"/>
          <w:szCs w:val="32"/>
        </w:rPr>
        <w:t>（一）国家出资企业（一级企业）报送产权登记申请文件；</w:t>
      </w:r>
    </w:p>
    <w:p>
      <w:pPr>
        <w:ind w:firstLine="640" w:firstLineChars="200"/>
        <w:rPr>
          <w:rFonts w:ascii="仿宋_GB2312" w:eastAsia="仿宋_GB2312"/>
          <w:sz w:val="32"/>
          <w:szCs w:val="32"/>
        </w:rPr>
      </w:pPr>
      <w:r>
        <w:rPr>
          <w:rFonts w:hint="eastAsia" w:ascii="仿宋_GB2312" w:eastAsia="仿宋_GB2312"/>
          <w:sz w:val="32"/>
          <w:szCs w:val="32"/>
        </w:rPr>
        <w:t>（二）财政局办公室收文登记、编号，呈局领导批办；</w:t>
      </w:r>
    </w:p>
    <w:p>
      <w:pPr>
        <w:ind w:firstLine="640" w:firstLineChars="200"/>
        <w:rPr>
          <w:rFonts w:ascii="仿宋_GB2312" w:eastAsia="仿宋_GB2312"/>
          <w:sz w:val="32"/>
          <w:szCs w:val="32"/>
        </w:rPr>
      </w:pPr>
      <w:r>
        <w:rPr>
          <w:rFonts w:hint="eastAsia" w:ascii="仿宋_GB2312" w:eastAsia="仿宋_GB2312"/>
          <w:sz w:val="32"/>
          <w:szCs w:val="32"/>
        </w:rPr>
        <w:t>（三）科室审核资料，形成本科室意见并报局领导审签；</w:t>
      </w:r>
    </w:p>
    <w:p>
      <w:pPr>
        <w:ind w:firstLine="640" w:firstLineChars="200"/>
        <w:rPr>
          <w:rFonts w:ascii="仿宋_GB2312" w:eastAsia="仿宋_GB2312"/>
          <w:sz w:val="32"/>
          <w:szCs w:val="32"/>
        </w:rPr>
      </w:pPr>
      <w:r>
        <w:rPr>
          <w:rFonts w:hint="eastAsia" w:ascii="仿宋_GB2312" w:eastAsia="仿宋_GB2312"/>
          <w:sz w:val="32"/>
          <w:szCs w:val="32"/>
        </w:rPr>
        <w:t>（四）局领导审签后，下发批复文件。</w:t>
      </w:r>
    </w:p>
    <w:p>
      <w:pPr>
        <w:ind w:firstLine="161" w:firstLineChars="50"/>
        <w:rPr>
          <w:rFonts w:ascii="仿宋_GB2312" w:eastAsia="仿宋_GB2312"/>
          <w:b/>
          <w:sz w:val="32"/>
          <w:szCs w:val="32"/>
        </w:rPr>
      </w:pPr>
      <w:r>
        <w:rPr>
          <w:rFonts w:hint="eastAsia" w:ascii="仿宋_GB2312" w:eastAsia="仿宋_GB2312"/>
          <w:b/>
          <w:sz w:val="32"/>
          <w:szCs w:val="32"/>
        </w:rPr>
        <w:t>五、办理时限</w:t>
      </w:r>
    </w:p>
    <w:p>
      <w:pPr>
        <w:ind w:firstLine="630"/>
        <w:rPr>
          <w:rFonts w:ascii="仿宋_GB2312" w:eastAsia="仿宋_GB2312"/>
          <w:sz w:val="32"/>
          <w:szCs w:val="32"/>
        </w:rPr>
      </w:pPr>
      <w:r>
        <w:rPr>
          <w:rFonts w:hint="eastAsia" w:ascii="仿宋_GB2312" w:eastAsia="仿宋_GB2312"/>
          <w:sz w:val="32"/>
          <w:szCs w:val="32"/>
        </w:rPr>
        <w:t>材料齐全，7个工作日完结。</w:t>
      </w:r>
    </w:p>
    <w:p>
      <w:pPr>
        <w:ind w:firstLine="161" w:firstLineChars="50"/>
        <w:rPr>
          <w:rFonts w:ascii="仿宋_GB2312" w:eastAsia="仿宋_GB2312"/>
          <w:b/>
          <w:sz w:val="32"/>
          <w:szCs w:val="32"/>
        </w:rPr>
      </w:pPr>
      <w:r>
        <w:rPr>
          <w:rFonts w:hint="eastAsia" w:ascii="仿宋_GB2312" w:eastAsia="仿宋_GB2312"/>
          <w:b/>
          <w:sz w:val="32"/>
          <w:szCs w:val="32"/>
        </w:rPr>
        <w:t>六、办理部门</w:t>
      </w:r>
    </w:p>
    <w:p>
      <w:pPr>
        <w:ind w:firstLine="630"/>
        <w:rPr>
          <w:rFonts w:ascii="仿宋_GB2312" w:eastAsia="仿宋_GB2312"/>
          <w:sz w:val="32"/>
          <w:szCs w:val="32"/>
        </w:rPr>
      </w:pPr>
      <w:r>
        <w:rPr>
          <w:rFonts w:hint="eastAsia" w:ascii="仿宋_GB2312" w:eastAsia="仿宋_GB2312"/>
          <w:sz w:val="32"/>
          <w:szCs w:val="32"/>
        </w:rPr>
        <w:t>信阳市财政局产权管理与考核评价科。</w:t>
      </w:r>
    </w:p>
    <w:p>
      <w:pPr>
        <w:ind w:firstLine="161" w:firstLineChars="50"/>
        <w:rPr>
          <w:rFonts w:ascii="仿宋_GB2312" w:eastAsia="仿宋_GB2312"/>
          <w:b/>
          <w:sz w:val="32"/>
          <w:szCs w:val="32"/>
        </w:rPr>
      </w:pPr>
      <w:r>
        <w:rPr>
          <w:rFonts w:hint="eastAsia" w:ascii="仿宋_GB2312" w:eastAsia="仿宋_GB2312"/>
          <w:b/>
          <w:sz w:val="32"/>
          <w:szCs w:val="32"/>
        </w:rPr>
        <w:t>七、办理电话</w:t>
      </w:r>
    </w:p>
    <w:p>
      <w:pPr>
        <w:rPr>
          <w:rFonts w:ascii="仿宋_GB2312" w:eastAsia="仿宋_GB2312"/>
          <w:sz w:val="32"/>
          <w:szCs w:val="32"/>
        </w:rPr>
      </w:pPr>
      <w:r>
        <w:rPr>
          <w:rFonts w:hint="eastAsia" w:ascii="仿宋_GB2312" w:eastAsia="仿宋_GB2312"/>
          <w:sz w:val="32"/>
          <w:szCs w:val="32"/>
        </w:rPr>
        <w:t xml:space="preserve">    </w:t>
      </w:r>
      <w:r>
        <w:rPr>
          <w:rFonts w:ascii="仿宋_GB2312" w:eastAsia="仿宋_GB2312"/>
          <w:sz w:val="32"/>
          <w:szCs w:val="32"/>
        </w:rPr>
        <w:t>037</w:t>
      </w:r>
      <w:r>
        <w:rPr>
          <w:rFonts w:hint="eastAsia" w:ascii="仿宋_GB2312" w:eastAsia="仿宋_GB2312"/>
          <w:sz w:val="32"/>
          <w:szCs w:val="32"/>
        </w:rPr>
        <w:t>6</w:t>
      </w:r>
      <w:r>
        <w:rPr>
          <w:rFonts w:ascii="仿宋_GB2312" w:eastAsia="仿宋_GB2312"/>
          <w:sz w:val="32"/>
          <w:szCs w:val="32"/>
        </w:rPr>
        <w:t>-6</w:t>
      </w:r>
      <w:r>
        <w:rPr>
          <w:rFonts w:hint="eastAsia" w:ascii="仿宋_GB2312" w:eastAsia="仿宋_GB2312"/>
          <w:sz w:val="32"/>
          <w:szCs w:val="32"/>
        </w:rPr>
        <w:t>699479</w:t>
      </w: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jc w:val="center"/>
        <w:rPr>
          <w:rFonts w:ascii="仿宋_GB2312" w:eastAsia="仿宋_GB2312" w:cs="Arial" w:hAnsiTheme="minorEastAsia"/>
          <w:b/>
          <w:color w:val="222222"/>
          <w:sz w:val="44"/>
          <w:szCs w:val="44"/>
        </w:rPr>
      </w:pPr>
      <w:r>
        <w:rPr>
          <w:rFonts w:hint="eastAsia" w:ascii="仿宋_GB2312" w:eastAsia="仿宋_GB2312" w:cs="Arial" w:hAnsiTheme="minorEastAsia"/>
          <w:b/>
          <w:color w:val="222222"/>
          <w:sz w:val="44"/>
          <w:szCs w:val="44"/>
        </w:rPr>
        <w:t>产权证办理流程</w:t>
      </w:r>
    </w:p>
    <w:p>
      <w:pPr>
        <w:jc w:val="center"/>
        <w:rPr>
          <w:rFonts w:ascii="仿宋_GB2312" w:eastAsia="仿宋_GB2312" w:cs="Arial" w:hAnsiTheme="minorEastAsia"/>
          <w:b/>
          <w:color w:val="222222"/>
          <w:sz w:val="44"/>
          <w:szCs w:val="44"/>
        </w:rPr>
      </w:pPr>
    </w:p>
    <w:tbl>
      <w:tblPr>
        <w:tblStyle w:val="7"/>
        <w:tblW w:w="0" w:type="auto"/>
        <w:tblInd w:w="14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trPr>
        <w:tc>
          <w:tcPr>
            <w:tcW w:w="5430" w:type="dxa"/>
            <w:vAlign w:val="center"/>
          </w:tcPr>
          <w:p>
            <w:pPr>
              <w:spacing w:line="480" w:lineRule="auto"/>
              <w:jc w:val="center"/>
              <w:rPr>
                <w:rFonts w:ascii="仿宋_GB2312" w:eastAsia="仿宋_GB2312" w:cs="Arial" w:hAnsiTheme="minorEastAsia"/>
                <w:color w:val="222222"/>
                <w:sz w:val="30"/>
                <w:szCs w:val="30"/>
              </w:rPr>
            </w:pPr>
            <w:r>
              <w:rPr>
                <w:rFonts w:hint="eastAsia" w:ascii="仿宋_GB2312" w:eastAsia="仿宋_GB2312" w:cs="Arial" w:hAnsiTheme="minorEastAsia"/>
                <w:color w:val="222222"/>
                <w:sz w:val="30"/>
                <w:szCs w:val="30"/>
              </w:rPr>
              <w:t>企业报送产权登记申请文件</w:t>
            </w:r>
          </w:p>
        </w:tc>
      </w:tr>
    </w:tbl>
    <w:p>
      <w:pPr>
        <w:spacing w:line="360" w:lineRule="auto"/>
        <w:jc w:val="center"/>
        <w:rPr>
          <w:rFonts w:ascii="仿宋_GB2312" w:eastAsia="仿宋_GB2312" w:cs="Arial" w:hAnsiTheme="minorEastAsia"/>
          <w:b/>
          <w:color w:val="222222"/>
          <w:sz w:val="72"/>
          <w:szCs w:val="44"/>
        </w:rPr>
      </w:pPr>
      <w:r>
        <w:rPr>
          <w:rFonts w:hint="eastAsia" w:ascii="仿宋_GB2312" w:eastAsia="仿宋_GB2312" w:cs="Arial" w:hAnsiTheme="minorEastAsia"/>
          <w:b/>
          <w:color w:val="222222"/>
          <w:sz w:val="72"/>
          <w:szCs w:val="44"/>
        </w:rPr>
        <w:t>↓</w:t>
      </w:r>
    </w:p>
    <w:tbl>
      <w:tblPr>
        <w:tblStyle w:val="7"/>
        <w:tblW w:w="0" w:type="auto"/>
        <w:tblInd w:w="15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5" w:hRule="atLeast"/>
        </w:trPr>
        <w:tc>
          <w:tcPr>
            <w:tcW w:w="5245" w:type="dxa"/>
            <w:vAlign w:val="center"/>
          </w:tcPr>
          <w:p>
            <w:pPr>
              <w:spacing w:line="360" w:lineRule="auto"/>
              <w:jc w:val="center"/>
              <w:rPr>
                <w:rFonts w:ascii="仿宋_GB2312" w:eastAsia="仿宋_GB2312" w:cs="Arial" w:hAnsiTheme="minorEastAsia"/>
                <w:color w:val="222222"/>
                <w:sz w:val="30"/>
                <w:szCs w:val="30"/>
              </w:rPr>
            </w:pPr>
            <w:r>
              <w:rPr>
                <w:rFonts w:hint="eastAsia" w:ascii="仿宋_GB2312" w:eastAsia="仿宋_GB2312" w:cs="Arial" w:hAnsiTheme="minorEastAsia"/>
                <w:color w:val="222222"/>
                <w:sz w:val="30"/>
                <w:szCs w:val="30"/>
              </w:rPr>
              <w:t>财政局办公室收文登记、编号、呈局领导批办</w:t>
            </w:r>
          </w:p>
        </w:tc>
      </w:tr>
    </w:tbl>
    <w:p>
      <w:pPr>
        <w:spacing w:line="360" w:lineRule="auto"/>
        <w:jc w:val="center"/>
        <w:rPr>
          <w:rFonts w:ascii="仿宋_GB2312" w:eastAsia="仿宋_GB2312" w:cs="Arial" w:hAnsiTheme="minorEastAsia"/>
          <w:b/>
          <w:color w:val="222222"/>
          <w:sz w:val="72"/>
          <w:szCs w:val="44"/>
        </w:rPr>
      </w:pPr>
      <w:r>
        <w:rPr>
          <w:rFonts w:hint="eastAsia" w:ascii="仿宋_GB2312" w:eastAsia="仿宋_GB2312" w:cs="Arial" w:hAnsiTheme="minorEastAsia"/>
          <w:b/>
          <w:color w:val="222222"/>
          <w:sz w:val="72"/>
          <w:szCs w:val="44"/>
        </w:rPr>
        <w:t>↓</w:t>
      </w:r>
    </w:p>
    <w:tbl>
      <w:tblPr>
        <w:tblStyle w:val="7"/>
        <w:tblW w:w="0" w:type="auto"/>
        <w:tblInd w:w="1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4" w:hRule="atLeast"/>
        </w:trPr>
        <w:tc>
          <w:tcPr>
            <w:tcW w:w="5571" w:type="dxa"/>
            <w:vAlign w:val="center"/>
          </w:tcPr>
          <w:p>
            <w:pPr>
              <w:spacing w:line="360" w:lineRule="auto"/>
              <w:jc w:val="center"/>
              <w:rPr>
                <w:rFonts w:ascii="仿宋_GB2312" w:eastAsia="仿宋_GB2312" w:cs="Arial" w:hAnsiTheme="minorEastAsia"/>
                <w:color w:val="222222"/>
                <w:sz w:val="32"/>
                <w:szCs w:val="32"/>
              </w:rPr>
            </w:pPr>
            <w:r>
              <w:rPr>
                <w:rFonts w:hint="eastAsia" w:ascii="仿宋_GB2312" w:eastAsia="仿宋_GB2312" w:cs="Arial" w:hAnsiTheme="minorEastAsia"/>
                <w:color w:val="222222"/>
                <w:sz w:val="32"/>
                <w:szCs w:val="32"/>
              </w:rPr>
              <w:t>产权科室审核资料，形成本科室意见并报局领导审签</w:t>
            </w:r>
          </w:p>
        </w:tc>
      </w:tr>
    </w:tbl>
    <w:p>
      <w:pPr>
        <w:spacing w:line="360" w:lineRule="auto"/>
        <w:jc w:val="center"/>
        <w:rPr>
          <w:rFonts w:ascii="仿宋_GB2312" w:eastAsia="仿宋_GB2312" w:cs="Arial" w:hAnsiTheme="minorEastAsia"/>
          <w:b/>
          <w:color w:val="222222"/>
          <w:sz w:val="72"/>
          <w:szCs w:val="44"/>
        </w:rPr>
      </w:pPr>
      <w:r>
        <w:rPr>
          <w:rFonts w:hint="eastAsia" w:ascii="仿宋_GB2312" w:eastAsia="仿宋_GB2312" w:cs="Arial" w:hAnsiTheme="minorEastAsia"/>
          <w:b/>
          <w:color w:val="222222"/>
          <w:sz w:val="72"/>
          <w:szCs w:val="44"/>
        </w:rPr>
        <w:t>↓</w:t>
      </w:r>
    </w:p>
    <w:tbl>
      <w:tblPr>
        <w:tblStyle w:val="7"/>
        <w:tblW w:w="0" w:type="auto"/>
        <w:tblInd w:w="13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5637" w:type="dxa"/>
            <w:vAlign w:val="center"/>
          </w:tcPr>
          <w:p>
            <w:pPr>
              <w:spacing w:line="360" w:lineRule="auto"/>
              <w:jc w:val="center"/>
              <w:rPr>
                <w:rFonts w:ascii="仿宋_GB2312" w:eastAsia="仿宋_GB2312" w:cs="Arial" w:hAnsiTheme="minorEastAsia"/>
                <w:color w:val="222222"/>
                <w:sz w:val="30"/>
                <w:szCs w:val="30"/>
              </w:rPr>
            </w:pPr>
            <w:r>
              <w:rPr>
                <w:rFonts w:hint="eastAsia" w:ascii="仿宋_GB2312" w:eastAsia="仿宋_GB2312" w:cs="Arial" w:hAnsiTheme="minorEastAsia"/>
                <w:color w:val="222222"/>
                <w:sz w:val="30"/>
                <w:szCs w:val="30"/>
              </w:rPr>
              <w:t>办理产权登记证表，下发批复文件</w:t>
            </w:r>
          </w:p>
        </w:tc>
      </w:tr>
    </w:tbl>
    <w:p>
      <w:pPr>
        <w:jc w:val="center"/>
        <w:rPr>
          <w:rFonts w:ascii="仿宋_GB2312" w:eastAsia="仿宋_GB2312" w:cs="Arial" w:hAnsiTheme="minorEastAsia"/>
          <w:b/>
          <w:color w:val="222222"/>
          <w:sz w:val="44"/>
          <w:szCs w:val="44"/>
        </w:rPr>
      </w:pPr>
    </w:p>
    <w:p>
      <w:pPr>
        <w:jc w:val="center"/>
        <w:rPr>
          <w:rFonts w:ascii="仿宋_GB2312" w:eastAsia="仿宋_GB2312" w:cs="Arial" w:hAnsiTheme="minorEastAsia"/>
          <w:b/>
          <w:color w:val="222222"/>
          <w:sz w:val="44"/>
          <w:szCs w:val="44"/>
        </w:rPr>
      </w:pPr>
    </w:p>
    <w:p>
      <w:pPr>
        <w:jc w:val="center"/>
        <w:rPr>
          <w:rFonts w:ascii="仿宋_GB2312" w:eastAsia="仿宋_GB2312" w:cs="Arial" w:hAnsiTheme="minorEastAsia"/>
          <w:b/>
          <w:color w:val="222222"/>
          <w:sz w:val="44"/>
          <w:szCs w:val="44"/>
        </w:rPr>
      </w:pPr>
    </w:p>
    <w:p>
      <w:pPr>
        <w:jc w:val="center"/>
        <w:rPr>
          <w:rFonts w:ascii="仿宋_GB2312" w:eastAsia="仿宋_GB2312" w:cs="Arial" w:hAnsiTheme="minorEastAsia"/>
          <w:b/>
          <w:color w:val="222222"/>
          <w:sz w:val="44"/>
          <w:szCs w:val="44"/>
        </w:rPr>
      </w:pPr>
    </w:p>
    <w:p>
      <w:pPr>
        <w:jc w:val="center"/>
        <w:rPr>
          <w:rFonts w:ascii="仿宋_GB2312" w:eastAsia="仿宋_GB2312" w:cs="Arial" w:hAnsiTheme="minorEastAsia"/>
          <w:b/>
          <w:color w:val="222222"/>
          <w:sz w:val="44"/>
          <w:szCs w:val="44"/>
        </w:rPr>
      </w:pPr>
    </w:p>
    <w:p>
      <w:pPr>
        <w:pStyle w:val="5"/>
        <w:shd w:val="clear" w:color="auto" w:fill="FFFFFF"/>
        <w:spacing w:before="208" w:beforeAutospacing="0" w:after="0" w:afterAutospacing="0"/>
        <w:ind w:firstLine="560"/>
        <w:jc w:val="center"/>
        <w:rPr>
          <w:rFonts w:ascii="仿宋_GB2312" w:eastAsia="仿宋_GB2312"/>
          <w:color w:val="333333"/>
          <w:sz w:val="28"/>
          <w:szCs w:val="28"/>
        </w:rPr>
      </w:pPr>
      <w:r>
        <w:rPr>
          <w:rStyle w:val="9"/>
          <w:rFonts w:hint="eastAsia" w:ascii="仿宋_GB2312" w:eastAsia="仿宋_GB2312"/>
          <w:color w:val="333333"/>
          <w:sz w:val="28"/>
          <w:szCs w:val="28"/>
        </w:rPr>
        <w:t>国务院国有资产监督管理委员会令</w:t>
      </w:r>
    </w:p>
    <w:p>
      <w:pPr>
        <w:pStyle w:val="5"/>
        <w:shd w:val="clear" w:color="auto" w:fill="FFFFFF"/>
        <w:spacing w:before="208" w:beforeAutospacing="0" w:after="0" w:afterAutospacing="0"/>
        <w:jc w:val="center"/>
        <w:rPr>
          <w:rFonts w:ascii="仿宋_GB2312" w:eastAsia="仿宋_GB2312"/>
          <w:color w:val="333333"/>
          <w:sz w:val="28"/>
          <w:szCs w:val="28"/>
        </w:rPr>
      </w:pPr>
      <w:r>
        <w:rPr>
          <w:rFonts w:hint="eastAsia" w:ascii="仿宋_GB2312" w:eastAsia="仿宋_GB2312"/>
          <w:color w:val="333333"/>
          <w:sz w:val="28"/>
          <w:szCs w:val="28"/>
        </w:rPr>
        <w:t>第　</w:t>
      </w:r>
      <w:r>
        <w:rPr>
          <w:rStyle w:val="9"/>
          <w:rFonts w:hint="eastAsia" w:ascii="仿宋_GB2312" w:eastAsia="仿宋_GB2312"/>
          <w:color w:val="333333"/>
          <w:sz w:val="28"/>
          <w:szCs w:val="28"/>
        </w:rPr>
        <w:t>29</w:t>
      </w:r>
      <w:r>
        <w:rPr>
          <w:rFonts w:hint="eastAsia" w:ascii="仿宋_GB2312" w:eastAsia="仿宋_GB2312"/>
          <w:color w:val="333333"/>
          <w:sz w:val="28"/>
          <w:szCs w:val="28"/>
        </w:rPr>
        <w:t>　号</w:t>
      </w:r>
    </w:p>
    <w:p>
      <w:pPr>
        <w:pStyle w:val="5"/>
        <w:shd w:val="clear" w:color="auto" w:fill="FFFFFF"/>
        <w:spacing w:before="208" w:beforeAutospacing="0" w:after="0" w:afterAutospacing="0"/>
        <w:rPr>
          <w:rFonts w:ascii="仿宋_GB2312" w:eastAsia="仿宋_GB2312"/>
          <w:color w:val="333333"/>
          <w:sz w:val="28"/>
          <w:szCs w:val="28"/>
        </w:rPr>
      </w:pPr>
      <w:r>
        <w:rPr>
          <w:rFonts w:hint="eastAsia" w:ascii="仿宋_GB2312" w:eastAsia="仿宋_GB2312"/>
          <w:color w:val="333333"/>
          <w:sz w:val="28"/>
          <w:szCs w:val="28"/>
        </w:rPr>
        <w:t>　　《国家出资企业产权登记管理暂行办法》已经国务院国有资产监督管理委员会第114次委主任办公会议审议通过，现予公布，自2012年6月1日起施行。</w:t>
      </w:r>
    </w:p>
    <w:p>
      <w:pPr>
        <w:pStyle w:val="5"/>
        <w:shd w:val="clear" w:color="auto" w:fill="FFFFFF"/>
        <w:spacing w:before="208" w:beforeAutospacing="0" w:after="0" w:afterAutospacing="0"/>
        <w:ind w:right="1680"/>
        <w:jc w:val="right"/>
        <w:rPr>
          <w:rFonts w:ascii="仿宋_GB2312" w:eastAsia="仿宋_GB2312"/>
          <w:color w:val="333333"/>
          <w:sz w:val="28"/>
          <w:szCs w:val="28"/>
        </w:rPr>
      </w:pPr>
      <w:r>
        <w:rPr>
          <w:rFonts w:hint="eastAsia" w:ascii="仿宋_GB2312" w:eastAsia="仿宋_GB2312"/>
          <w:color w:val="333333"/>
          <w:sz w:val="28"/>
          <w:szCs w:val="28"/>
        </w:rPr>
        <w:t>主　任　 王　勇</w:t>
      </w:r>
    </w:p>
    <w:p>
      <w:pPr>
        <w:pStyle w:val="5"/>
        <w:shd w:val="clear" w:color="auto" w:fill="FFFFFF"/>
        <w:spacing w:before="208" w:beforeAutospacing="0" w:after="0" w:afterAutospacing="0"/>
        <w:ind w:right="1400"/>
        <w:rPr>
          <w:rFonts w:ascii="仿宋_GB2312" w:eastAsia="仿宋_GB2312"/>
          <w:color w:val="333333"/>
          <w:sz w:val="28"/>
          <w:szCs w:val="28"/>
        </w:rPr>
      </w:pPr>
      <w:r>
        <w:rPr>
          <w:rFonts w:hint="eastAsia" w:ascii="仿宋_GB2312" w:eastAsia="仿宋_GB2312"/>
          <w:color w:val="333333"/>
          <w:sz w:val="28"/>
          <w:szCs w:val="28"/>
        </w:rPr>
        <w:t xml:space="preserve">                                  2012年4月12日</w:t>
      </w:r>
    </w:p>
    <w:p>
      <w:pPr>
        <w:pStyle w:val="5"/>
        <w:shd w:val="clear" w:color="auto" w:fill="FFFFFF"/>
        <w:spacing w:before="208" w:beforeAutospacing="0" w:after="0" w:afterAutospacing="0"/>
        <w:jc w:val="center"/>
        <w:rPr>
          <w:rFonts w:eastAsia="仿宋_GB2312"/>
          <w:color w:val="333333"/>
          <w:sz w:val="28"/>
          <w:szCs w:val="28"/>
        </w:rPr>
      </w:pPr>
    </w:p>
    <w:p>
      <w:pPr>
        <w:pStyle w:val="5"/>
        <w:shd w:val="clear" w:color="auto" w:fill="FFFFFF"/>
        <w:spacing w:before="208" w:beforeAutospacing="0" w:after="0" w:afterAutospacing="0"/>
        <w:jc w:val="center"/>
        <w:rPr>
          <w:rFonts w:ascii="仿宋_GB2312" w:eastAsia="仿宋_GB2312"/>
          <w:b/>
          <w:color w:val="333333"/>
          <w:sz w:val="28"/>
          <w:szCs w:val="28"/>
        </w:rPr>
      </w:pPr>
      <w:r>
        <w:rPr>
          <w:rStyle w:val="9"/>
          <w:rFonts w:hint="eastAsia" w:ascii="仿宋_GB2312" w:eastAsia="仿宋_GB2312"/>
          <w:color w:val="333333"/>
          <w:sz w:val="28"/>
          <w:szCs w:val="28"/>
        </w:rPr>
        <w:t>国家出资企业产权登记管理暂行办法</w:t>
      </w:r>
    </w:p>
    <w:p>
      <w:pPr>
        <w:pStyle w:val="5"/>
        <w:shd w:val="clear" w:color="auto" w:fill="FFFFFF"/>
        <w:spacing w:before="208" w:beforeAutospacing="0" w:after="0" w:afterAutospacing="0"/>
        <w:jc w:val="center"/>
        <w:rPr>
          <w:rFonts w:ascii="仿宋_GB2312" w:eastAsia="仿宋_GB2312"/>
          <w:b/>
          <w:color w:val="333333"/>
          <w:sz w:val="28"/>
          <w:szCs w:val="28"/>
        </w:rPr>
      </w:pPr>
      <w:r>
        <w:rPr>
          <w:rFonts w:hint="eastAsia" w:ascii="仿宋_GB2312" w:eastAsia="仿宋_GB2312"/>
          <w:b/>
          <w:color w:val="333333"/>
          <w:sz w:val="28"/>
          <w:szCs w:val="28"/>
        </w:rPr>
        <w:t>第一章　总　　则</w:t>
      </w:r>
    </w:p>
    <w:p>
      <w:pPr>
        <w:pStyle w:val="5"/>
        <w:shd w:val="clear" w:color="auto" w:fill="FFFFFF"/>
        <w:spacing w:before="208" w:beforeAutospacing="0" w:after="0" w:afterAutospacing="0"/>
        <w:rPr>
          <w:rFonts w:ascii="仿宋_GB2312" w:eastAsia="仿宋_GB2312"/>
          <w:color w:val="333333"/>
          <w:sz w:val="28"/>
          <w:szCs w:val="28"/>
        </w:rPr>
      </w:pPr>
      <w:r>
        <w:rPr>
          <w:rFonts w:hint="eastAsia" w:ascii="仿宋_GB2312" w:eastAsia="仿宋_GB2312"/>
          <w:color w:val="333333"/>
          <w:sz w:val="28"/>
          <w:szCs w:val="28"/>
        </w:rPr>
        <w:t>　　</w:t>
      </w:r>
      <w:r>
        <w:rPr>
          <w:rStyle w:val="9"/>
          <w:rFonts w:hint="eastAsia" w:ascii="仿宋_GB2312" w:eastAsia="仿宋_GB2312"/>
          <w:color w:val="333333"/>
          <w:sz w:val="28"/>
          <w:szCs w:val="28"/>
        </w:rPr>
        <w:t>第一条</w:t>
      </w:r>
      <w:r>
        <w:rPr>
          <w:rFonts w:hint="eastAsia" w:ascii="仿宋_GB2312" w:eastAsia="仿宋_GB2312"/>
          <w:color w:val="333333"/>
          <w:sz w:val="28"/>
          <w:szCs w:val="28"/>
        </w:rPr>
        <w:t>　为了加强国家出资企业产权登记管理，及时、真实、动态、全面反映企业产权状况，根据《中华人民共和国企业国有资产法》、《企业国有资产监督管理暂行条例》（国务院令第378号）等法律和行政法规，制定本办法。</w:t>
      </w:r>
      <w:r>
        <w:rPr>
          <w:rFonts w:hint="eastAsia" w:ascii="仿宋_GB2312" w:eastAsia="仿宋_GB2312"/>
          <w:color w:val="333333"/>
          <w:sz w:val="28"/>
          <w:szCs w:val="28"/>
        </w:rPr>
        <w:br w:type="textWrapping"/>
      </w:r>
      <w:r>
        <w:rPr>
          <w:rFonts w:hint="eastAsia" w:ascii="仿宋_GB2312" w:eastAsia="仿宋_GB2312"/>
          <w:color w:val="333333"/>
          <w:sz w:val="28"/>
          <w:szCs w:val="28"/>
        </w:rPr>
        <w:t>　　</w:t>
      </w:r>
      <w:r>
        <w:rPr>
          <w:rStyle w:val="9"/>
          <w:rFonts w:hint="eastAsia" w:ascii="仿宋_GB2312" w:eastAsia="仿宋_GB2312"/>
          <w:color w:val="333333"/>
          <w:sz w:val="28"/>
          <w:szCs w:val="28"/>
        </w:rPr>
        <w:t>第二条</w:t>
      </w:r>
      <w:r>
        <w:rPr>
          <w:rFonts w:hint="eastAsia" w:ascii="仿宋_GB2312" w:eastAsia="仿宋_GB2312"/>
          <w:color w:val="333333"/>
          <w:sz w:val="28"/>
          <w:szCs w:val="28"/>
        </w:rPr>
        <w:t>　本办法所称国家出资企业产权登记（以下简称产权登记），是指国有资产监督管理机构对本级人民政府授权管理的国家出资企业的产权及其分布状况进行登记管理的行为。</w:t>
      </w:r>
      <w:r>
        <w:rPr>
          <w:rFonts w:hint="eastAsia" w:ascii="仿宋_GB2312" w:eastAsia="仿宋_GB2312"/>
          <w:color w:val="333333"/>
          <w:sz w:val="28"/>
          <w:szCs w:val="28"/>
        </w:rPr>
        <w:br w:type="textWrapping"/>
      </w:r>
      <w:r>
        <w:rPr>
          <w:rFonts w:hint="eastAsia" w:ascii="仿宋_GB2312" w:eastAsia="仿宋_GB2312"/>
          <w:color w:val="333333"/>
          <w:sz w:val="28"/>
          <w:szCs w:val="28"/>
        </w:rPr>
        <w:t>　　</w:t>
      </w:r>
      <w:r>
        <w:rPr>
          <w:rStyle w:val="9"/>
          <w:rFonts w:hint="eastAsia" w:ascii="仿宋_GB2312" w:eastAsia="仿宋_GB2312"/>
          <w:color w:val="333333"/>
          <w:sz w:val="28"/>
          <w:szCs w:val="28"/>
        </w:rPr>
        <w:t>第三条</w:t>
      </w:r>
      <w:r>
        <w:rPr>
          <w:rFonts w:hint="eastAsia" w:ascii="仿宋_GB2312" w:eastAsia="仿宋_GB2312"/>
          <w:color w:val="333333"/>
          <w:sz w:val="28"/>
          <w:szCs w:val="28"/>
        </w:rPr>
        <w:t>　国家出资企业、国家出资企业（不含国有资本参股公司）拥有实际控制权的境内外各级企业及其投资参股企业（以下统称企业），应当纳入产权登记范围。国家出资企业所属事业单位视为其子企业进行产权登记。</w:t>
      </w:r>
      <w:r>
        <w:rPr>
          <w:rFonts w:hint="eastAsia" w:ascii="仿宋_GB2312" w:eastAsia="仿宋_GB2312"/>
          <w:color w:val="333333"/>
          <w:sz w:val="28"/>
          <w:szCs w:val="28"/>
        </w:rPr>
        <w:br w:type="textWrapping"/>
      </w:r>
      <w:r>
        <w:rPr>
          <w:rFonts w:hint="eastAsia" w:ascii="仿宋_GB2312" w:eastAsia="仿宋_GB2312"/>
          <w:color w:val="333333"/>
          <w:sz w:val="28"/>
          <w:szCs w:val="28"/>
        </w:rPr>
        <w:t>　　前款所称拥有实际控制权，是指国家出资企业直接或者间接合计持股比例超过50%，或者持股比例虽然未超过50%，但为第一大股东，并通过股东协议、公司章程、董事会决议或者其他协议安排能够实际支配企业行为的情形。</w:t>
      </w:r>
      <w:r>
        <w:rPr>
          <w:rFonts w:hint="eastAsia" w:ascii="仿宋_GB2312" w:eastAsia="仿宋_GB2312"/>
          <w:color w:val="333333"/>
          <w:sz w:val="28"/>
          <w:szCs w:val="28"/>
        </w:rPr>
        <w:br w:type="textWrapping"/>
      </w:r>
      <w:r>
        <w:rPr>
          <w:rFonts w:hint="eastAsia" w:ascii="仿宋_GB2312" w:eastAsia="仿宋_GB2312"/>
          <w:color w:val="333333"/>
          <w:sz w:val="28"/>
          <w:szCs w:val="28"/>
        </w:rPr>
        <w:t>　　</w:t>
      </w:r>
      <w:r>
        <w:rPr>
          <w:rStyle w:val="9"/>
          <w:rFonts w:hint="eastAsia" w:ascii="仿宋_GB2312" w:eastAsia="仿宋_GB2312"/>
          <w:color w:val="333333"/>
          <w:sz w:val="28"/>
          <w:szCs w:val="28"/>
        </w:rPr>
        <w:t>第四条</w:t>
      </w:r>
      <w:r>
        <w:rPr>
          <w:rFonts w:hint="eastAsia" w:ascii="仿宋_GB2312" w:eastAsia="仿宋_GB2312"/>
          <w:color w:val="333333"/>
          <w:sz w:val="28"/>
          <w:szCs w:val="28"/>
        </w:rPr>
        <w:t>　本办法所指出资人分为以下五类：</w:t>
      </w:r>
      <w:r>
        <w:rPr>
          <w:rFonts w:hint="eastAsia" w:ascii="仿宋_GB2312" w:eastAsia="仿宋_GB2312"/>
          <w:color w:val="333333"/>
          <w:sz w:val="28"/>
          <w:szCs w:val="28"/>
        </w:rPr>
        <w:br w:type="textWrapping"/>
      </w:r>
      <w:r>
        <w:rPr>
          <w:rFonts w:hint="eastAsia" w:ascii="仿宋_GB2312" w:eastAsia="仿宋_GB2312"/>
          <w:color w:val="333333"/>
          <w:sz w:val="28"/>
          <w:szCs w:val="28"/>
        </w:rPr>
        <w:t>　　（一）履行出资人职责的机构；</w:t>
      </w:r>
      <w:r>
        <w:rPr>
          <w:rFonts w:hint="eastAsia" w:ascii="仿宋_GB2312" w:eastAsia="仿宋_GB2312"/>
          <w:color w:val="333333"/>
          <w:sz w:val="28"/>
          <w:szCs w:val="28"/>
        </w:rPr>
        <w:br w:type="textWrapping"/>
      </w:r>
      <w:r>
        <w:rPr>
          <w:rFonts w:hint="eastAsia" w:ascii="仿宋_GB2312" w:eastAsia="仿宋_GB2312"/>
          <w:color w:val="333333"/>
          <w:sz w:val="28"/>
          <w:szCs w:val="28"/>
        </w:rPr>
        <w:t>　　（二）履行出资人职责的机构、国有独资企业、国有独资公司单独或者共同出资设立的企业；</w:t>
      </w:r>
      <w:r>
        <w:rPr>
          <w:rFonts w:hint="eastAsia" w:ascii="仿宋_GB2312" w:eastAsia="仿宋_GB2312"/>
          <w:color w:val="333333"/>
          <w:sz w:val="28"/>
          <w:szCs w:val="28"/>
        </w:rPr>
        <w:br w:type="textWrapping"/>
      </w:r>
      <w:r>
        <w:rPr>
          <w:rFonts w:hint="eastAsia" w:ascii="仿宋_GB2312" w:eastAsia="仿宋_GB2312"/>
          <w:color w:val="333333"/>
          <w:sz w:val="28"/>
          <w:szCs w:val="28"/>
        </w:rPr>
        <w:t>　　（三）以上两类出资人直接或者间接合计持股比例超过50%不足100%的企业；</w:t>
      </w:r>
      <w:r>
        <w:rPr>
          <w:rFonts w:hint="eastAsia" w:ascii="仿宋_GB2312" w:eastAsia="仿宋_GB2312"/>
          <w:color w:val="333333"/>
          <w:sz w:val="28"/>
          <w:szCs w:val="28"/>
        </w:rPr>
        <w:br w:type="textWrapping"/>
      </w:r>
      <w:r>
        <w:rPr>
          <w:rFonts w:hint="eastAsia" w:ascii="仿宋_GB2312" w:eastAsia="仿宋_GB2312"/>
          <w:color w:val="333333"/>
          <w:sz w:val="28"/>
          <w:szCs w:val="28"/>
        </w:rPr>
        <w:t>　　（四）以上三类出资人直接或者间接合计持股比例未超过50%但为第一大股东，并通过股东协议、公司章程、董事会决议或者其他协议安排能够实际支配企业行为的企业；</w:t>
      </w:r>
      <w:r>
        <w:rPr>
          <w:rFonts w:hint="eastAsia" w:ascii="仿宋_GB2312" w:eastAsia="仿宋_GB2312"/>
          <w:color w:val="333333"/>
          <w:sz w:val="28"/>
          <w:szCs w:val="28"/>
        </w:rPr>
        <w:br w:type="textWrapping"/>
      </w:r>
      <w:r>
        <w:rPr>
          <w:rFonts w:hint="eastAsia" w:ascii="仿宋_GB2312" w:eastAsia="仿宋_GB2312"/>
          <w:color w:val="333333"/>
          <w:sz w:val="28"/>
          <w:szCs w:val="28"/>
        </w:rPr>
        <w:t>　　（五）以上四类出资人以外的企业、自然人或者其他经济组织。</w:t>
      </w:r>
      <w:r>
        <w:rPr>
          <w:rFonts w:hint="eastAsia" w:ascii="仿宋_GB2312" w:eastAsia="仿宋_GB2312"/>
          <w:color w:val="333333"/>
          <w:sz w:val="28"/>
          <w:szCs w:val="28"/>
        </w:rPr>
        <w:br w:type="textWrapping"/>
      </w:r>
      <w:r>
        <w:rPr>
          <w:rFonts w:hint="eastAsia" w:ascii="仿宋_GB2312" w:eastAsia="仿宋_GB2312"/>
          <w:color w:val="333333"/>
          <w:sz w:val="28"/>
          <w:szCs w:val="28"/>
        </w:rPr>
        <w:t>　　以上（二）、（三）、（四）类出资人统称为履行出资人职责的企业。</w:t>
      </w:r>
      <w:r>
        <w:rPr>
          <w:rFonts w:hint="eastAsia" w:ascii="仿宋_GB2312" w:eastAsia="仿宋_GB2312"/>
          <w:color w:val="333333"/>
          <w:sz w:val="28"/>
          <w:szCs w:val="28"/>
        </w:rPr>
        <w:br w:type="textWrapping"/>
      </w:r>
      <w:r>
        <w:rPr>
          <w:rFonts w:hint="eastAsia" w:ascii="仿宋_GB2312" w:eastAsia="仿宋_GB2312"/>
          <w:color w:val="333333"/>
          <w:sz w:val="28"/>
          <w:szCs w:val="28"/>
        </w:rPr>
        <w:t>　　</w:t>
      </w:r>
      <w:r>
        <w:rPr>
          <w:rStyle w:val="9"/>
          <w:rFonts w:hint="eastAsia" w:ascii="仿宋_GB2312" w:eastAsia="仿宋_GB2312"/>
          <w:color w:val="333333"/>
          <w:sz w:val="28"/>
          <w:szCs w:val="28"/>
        </w:rPr>
        <w:t>第五条</w:t>
      </w:r>
      <w:r>
        <w:rPr>
          <w:rFonts w:hint="eastAsia" w:ascii="仿宋_GB2312" w:eastAsia="仿宋_GB2312"/>
          <w:color w:val="333333"/>
          <w:sz w:val="28"/>
          <w:szCs w:val="28"/>
        </w:rPr>
        <w:t>　企业为交易目的持有的下列股权不进行产权登记：</w:t>
      </w:r>
      <w:r>
        <w:rPr>
          <w:rFonts w:hint="eastAsia" w:ascii="仿宋_GB2312" w:eastAsia="仿宋_GB2312"/>
          <w:color w:val="333333"/>
          <w:sz w:val="28"/>
          <w:szCs w:val="28"/>
        </w:rPr>
        <w:br w:type="textWrapping"/>
      </w:r>
      <w:r>
        <w:rPr>
          <w:rFonts w:hint="eastAsia" w:ascii="仿宋_GB2312" w:eastAsia="仿宋_GB2312"/>
          <w:color w:val="333333"/>
          <w:sz w:val="28"/>
          <w:szCs w:val="28"/>
        </w:rPr>
        <w:t>　　（一）为了赚取差价从二级市场购入的上市公司股权；</w:t>
      </w:r>
      <w:r>
        <w:rPr>
          <w:rFonts w:hint="eastAsia" w:ascii="仿宋_GB2312" w:eastAsia="仿宋_GB2312"/>
          <w:color w:val="333333"/>
          <w:sz w:val="28"/>
          <w:szCs w:val="28"/>
        </w:rPr>
        <w:br w:type="textWrapping"/>
      </w:r>
      <w:r>
        <w:rPr>
          <w:rFonts w:hint="eastAsia" w:ascii="仿宋_GB2312" w:eastAsia="仿宋_GB2312"/>
          <w:color w:val="333333"/>
          <w:sz w:val="28"/>
          <w:szCs w:val="28"/>
        </w:rPr>
        <w:t>　　（二）为了近期内（1年以内）出售而持有的其他股权。</w:t>
      </w:r>
      <w:r>
        <w:rPr>
          <w:rFonts w:hint="eastAsia" w:ascii="仿宋_GB2312" w:eastAsia="仿宋_GB2312"/>
          <w:color w:val="333333"/>
          <w:sz w:val="28"/>
          <w:szCs w:val="28"/>
        </w:rPr>
        <w:br w:type="textWrapping"/>
      </w:r>
      <w:r>
        <w:rPr>
          <w:rFonts w:hint="eastAsia" w:ascii="仿宋_GB2312" w:eastAsia="仿宋_GB2312"/>
          <w:color w:val="333333"/>
          <w:sz w:val="28"/>
          <w:szCs w:val="28"/>
        </w:rPr>
        <w:t>　　</w:t>
      </w:r>
      <w:r>
        <w:rPr>
          <w:rStyle w:val="9"/>
          <w:rFonts w:hint="eastAsia" w:ascii="仿宋_GB2312" w:eastAsia="仿宋_GB2312"/>
          <w:color w:val="333333"/>
          <w:sz w:val="28"/>
          <w:szCs w:val="28"/>
        </w:rPr>
        <w:t>第六条</w:t>
      </w:r>
      <w:r>
        <w:rPr>
          <w:rFonts w:hint="eastAsia" w:ascii="仿宋_GB2312" w:eastAsia="仿宋_GB2312"/>
          <w:color w:val="333333"/>
          <w:sz w:val="28"/>
          <w:szCs w:val="28"/>
        </w:rPr>
        <w:t>　办理产权登记的企业应当权属清晰。存在产权纠纷的企业，应当在及时处理产权纠纷后申请办理产权登记。</w:t>
      </w:r>
      <w:r>
        <w:rPr>
          <w:rFonts w:hint="eastAsia" w:ascii="仿宋_GB2312" w:eastAsia="仿宋_GB2312"/>
          <w:color w:val="333333"/>
          <w:sz w:val="28"/>
          <w:szCs w:val="28"/>
        </w:rPr>
        <w:br w:type="textWrapping"/>
      </w:r>
      <w:r>
        <w:rPr>
          <w:rFonts w:hint="eastAsia" w:ascii="仿宋_GB2312" w:eastAsia="仿宋_GB2312"/>
          <w:color w:val="333333"/>
          <w:sz w:val="28"/>
          <w:szCs w:val="28"/>
        </w:rPr>
        <w:t>　　</w:t>
      </w:r>
      <w:r>
        <w:rPr>
          <w:rStyle w:val="9"/>
          <w:rFonts w:hint="eastAsia" w:ascii="仿宋_GB2312" w:eastAsia="仿宋_GB2312"/>
          <w:color w:val="333333"/>
          <w:sz w:val="28"/>
          <w:szCs w:val="28"/>
        </w:rPr>
        <w:t>第七条</w:t>
      </w:r>
      <w:r>
        <w:rPr>
          <w:rFonts w:hint="eastAsia" w:ascii="仿宋_GB2312" w:eastAsia="仿宋_GB2312"/>
          <w:color w:val="333333"/>
          <w:sz w:val="28"/>
          <w:szCs w:val="28"/>
        </w:rPr>
        <w:t>　各级国有资产监督管理机构分别负责本级人民政府授权管理的国家出资企业的产权登记管理。国务院国有资产监督管理机构对地方国有资产监督管理机构的产权登记工作进行指导和监督。</w:t>
      </w:r>
      <w:r>
        <w:rPr>
          <w:rFonts w:hint="eastAsia" w:ascii="仿宋_GB2312" w:eastAsia="仿宋_GB2312"/>
          <w:color w:val="333333"/>
          <w:sz w:val="28"/>
          <w:szCs w:val="28"/>
        </w:rPr>
        <w:br w:type="textWrapping"/>
      </w:r>
      <w:r>
        <w:rPr>
          <w:rFonts w:hint="eastAsia" w:ascii="仿宋_GB2312" w:eastAsia="仿宋_GB2312"/>
          <w:color w:val="333333"/>
          <w:sz w:val="28"/>
          <w:szCs w:val="28"/>
        </w:rPr>
        <w:t>　　</w:t>
      </w:r>
      <w:r>
        <w:rPr>
          <w:rStyle w:val="9"/>
          <w:rFonts w:hint="eastAsia" w:ascii="仿宋_GB2312" w:eastAsia="仿宋_GB2312"/>
          <w:color w:val="333333"/>
          <w:sz w:val="28"/>
          <w:szCs w:val="28"/>
        </w:rPr>
        <w:t>第八条</w:t>
      </w:r>
      <w:r>
        <w:rPr>
          <w:rFonts w:hint="eastAsia" w:ascii="仿宋_GB2312" w:eastAsia="仿宋_GB2312"/>
          <w:color w:val="333333"/>
          <w:sz w:val="28"/>
          <w:szCs w:val="28"/>
        </w:rPr>
        <w:t>　国家出资企业负责对其履行出资人职责的企业的产权登记工作进行管理，并向国有资产监督管理机构申请办理企业产权登记。</w:t>
      </w:r>
      <w:r>
        <w:rPr>
          <w:rFonts w:hint="eastAsia" w:ascii="仿宋_GB2312" w:eastAsia="仿宋_GB2312"/>
          <w:color w:val="333333"/>
          <w:sz w:val="28"/>
          <w:szCs w:val="28"/>
        </w:rPr>
        <w:br w:type="textWrapping"/>
      </w:r>
      <w:r>
        <w:rPr>
          <w:rFonts w:hint="eastAsia" w:ascii="仿宋_GB2312" w:eastAsia="仿宋_GB2312"/>
          <w:color w:val="333333"/>
          <w:sz w:val="28"/>
          <w:szCs w:val="28"/>
        </w:rPr>
        <w:t>　　</w:t>
      </w:r>
      <w:r>
        <w:rPr>
          <w:rStyle w:val="9"/>
          <w:rFonts w:hint="eastAsia" w:ascii="仿宋_GB2312" w:eastAsia="仿宋_GB2312"/>
          <w:color w:val="333333"/>
          <w:sz w:val="28"/>
          <w:szCs w:val="28"/>
        </w:rPr>
        <w:t>第九条</w:t>
      </w:r>
      <w:r>
        <w:rPr>
          <w:rFonts w:hint="eastAsia" w:ascii="仿宋_GB2312" w:eastAsia="仿宋_GB2312"/>
          <w:color w:val="333333"/>
          <w:sz w:val="28"/>
          <w:szCs w:val="28"/>
        </w:rPr>
        <w:t>　各级国有资产监督管理机构、国家出资企业应当定期对产权登记数据进行汇总分析。</w:t>
      </w:r>
      <w:r>
        <w:rPr>
          <w:rFonts w:hint="eastAsia" w:ascii="仿宋_GB2312" w:eastAsia="仿宋_GB2312"/>
          <w:color w:val="333333"/>
          <w:sz w:val="28"/>
          <w:szCs w:val="28"/>
        </w:rPr>
        <w:br w:type="textWrapping"/>
      </w:r>
      <w:r>
        <w:rPr>
          <w:rFonts w:hint="eastAsia" w:ascii="仿宋_GB2312" w:eastAsia="仿宋_GB2312"/>
          <w:color w:val="333333"/>
          <w:sz w:val="28"/>
          <w:szCs w:val="28"/>
        </w:rPr>
        <w:t>　　省级国有资产监督管理机构应当于每年1月31日前，将本地区上年度企业产权登记数据汇总分析后，报国务院国有资产监督管理机构。</w:t>
      </w:r>
    </w:p>
    <w:p>
      <w:pPr>
        <w:pStyle w:val="5"/>
        <w:shd w:val="clear" w:color="auto" w:fill="FFFFFF"/>
        <w:spacing w:before="208" w:beforeAutospacing="0" w:after="0" w:afterAutospacing="0"/>
        <w:jc w:val="center"/>
        <w:rPr>
          <w:rFonts w:ascii="仿宋_GB2312" w:eastAsia="仿宋_GB2312"/>
          <w:b/>
          <w:color w:val="333333"/>
          <w:sz w:val="28"/>
          <w:szCs w:val="28"/>
        </w:rPr>
      </w:pPr>
      <w:r>
        <w:rPr>
          <w:rFonts w:hint="eastAsia" w:ascii="仿宋_GB2312" w:eastAsia="仿宋_GB2312"/>
          <w:b/>
          <w:color w:val="333333"/>
          <w:sz w:val="28"/>
          <w:szCs w:val="28"/>
        </w:rPr>
        <w:t>第二章　产权登记类型</w:t>
      </w:r>
    </w:p>
    <w:p>
      <w:pPr>
        <w:pStyle w:val="5"/>
        <w:shd w:val="clear" w:color="auto" w:fill="FFFFFF"/>
        <w:spacing w:before="208" w:beforeAutospacing="0" w:after="0" w:afterAutospacing="0"/>
        <w:rPr>
          <w:rFonts w:ascii="仿宋_GB2312" w:eastAsia="仿宋_GB2312"/>
          <w:color w:val="333333"/>
          <w:sz w:val="28"/>
          <w:szCs w:val="28"/>
        </w:rPr>
      </w:pPr>
      <w:r>
        <w:rPr>
          <w:rFonts w:hint="eastAsia" w:ascii="仿宋_GB2312" w:eastAsia="仿宋_GB2312"/>
          <w:color w:val="333333"/>
          <w:sz w:val="28"/>
          <w:szCs w:val="28"/>
        </w:rPr>
        <w:t>　　</w:t>
      </w:r>
      <w:r>
        <w:rPr>
          <w:rStyle w:val="9"/>
          <w:rFonts w:hint="eastAsia" w:ascii="仿宋_GB2312" w:eastAsia="仿宋_GB2312"/>
          <w:color w:val="333333"/>
          <w:sz w:val="28"/>
          <w:szCs w:val="28"/>
        </w:rPr>
        <w:t>第十条</w:t>
      </w:r>
      <w:r>
        <w:rPr>
          <w:rFonts w:hint="eastAsia" w:ascii="仿宋_GB2312" w:eastAsia="仿宋_GB2312"/>
          <w:color w:val="333333"/>
          <w:sz w:val="28"/>
          <w:szCs w:val="28"/>
        </w:rPr>
        <w:t>　产权登记分为占有产权登记、变动产权登记和注销产权登记。</w:t>
      </w:r>
      <w:r>
        <w:rPr>
          <w:rFonts w:hint="eastAsia" w:ascii="仿宋_GB2312" w:eastAsia="仿宋_GB2312"/>
          <w:color w:val="333333"/>
          <w:sz w:val="28"/>
          <w:szCs w:val="28"/>
        </w:rPr>
        <w:br w:type="textWrapping"/>
      </w:r>
      <w:r>
        <w:rPr>
          <w:rFonts w:hint="eastAsia" w:ascii="仿宋_GB2312" w:eastAsia="仿宋_GB2312"/>
          <w:color w:val="333333"/>
          <w:sz w:val="28"/>
          <w:szCs w:val="28"/>
        </w:rPr>
        <w:t>　　</w:t>
      </w:r>
      <w:r>
        <w:rPr>
          <w:rStyle w:val="9"/>
          <w:rFonts w:hint="eastAsia" w:ascii="仿宋_GB2312" w:eastAsia="仿宋_GB2312"/>
          <w:color w:val="333333"/>
          <w:sz w:val="28"/>
          <w:szCs w:val="28"/>
        </w:rPr>
        <w:t>第十一条</w:t>
      </w:r>
      <w:r>
        <w:rPr>
          <w:rFonts w:hint="eastAsia" w:ascii="仿宋_GB2312" w:eastAsia="仿宋_GB2312"/>
          <w:color w:val="333333"/>
          <w:sz w:val="28"/>
          <w:szCs w:val="28"/>
        </w:rPr>
        <w:t>　履行出资人职责的机构和履行出资人职责的企业有下列情形之一的，应当办理占有产权登记：</w:t>
      </w:r>
      <w:r>
        <w:rPr>
          <w:rFonts w:hint="eastAsia" w:ascii="仿宋_GB2312" w:eastAsia="仿宋_GB2312"/>
          <w:color w:val="333333"/>
          <w:sz w:val="28"/>
          <w:szCs w:val="28"/>
        </w:rPr>
        <w:br w:type="textWrapping"/>
      </w:r>
      <w:r>
        <w:rPr>
          <w:rFonts w:hint="eastAsia" w:ascii="仿宋_GB2312" w:eastAsia="仿宋_GB2312"/>
          <w:color w:val="333333"/>
          <w:sz w:val="28"/>
          <w:szCs w:val="28"/>
        </w:rPr>
        <w:t>　　（一）因投资、分立、合并而新设企业的；</w:t>
      </w:r>
      <w:r>
        <w:rPr>
          <w:rFonts w:hint="eastAsia" w:ascii="仿宋_GB2312" w:eastAsia="仿宋_GB2312"/>
          <w:color w:val="333333"/>
          <w:sz w:val="28"/>
          <w:szCs w:val="28"/>
        </w:rPr>
        <w:br w:type="textWrapping"/>
      </w:r>
      <w:r>
        <w:rPr>
          <w:rFonts w:hint="eastAsia" w:ascii="仿宋_GB2312" w:eastAsia="仿宋_GB2312"/>
          <w:color w:val="333333"/>
          <w:sz w:val="28"/>
          <w:szCs w:val="28"/>
        </w:rPr>
        <w:t>　　（二）因收购、投资入股而首次取得企业股权的；</w:t>
      </w:r>
      <w:r>
        <w:rPr>
          <w:rFonts w:hint="eastAsia" w:ascii="仿宋_GB2312" w:eastAsia="仿宋_GB2312"/>
          <w:color w:val="333333"/>
          <w:sz w:val="28"/>
          <w:szCs w:val="28"/>
        </w:rPr>
        <w:br w:type="textWrapping"/>
      </w:r>
      <w:r>
        <w:rPr>
          <w:rFonts w:hint="eastAsia" w:ascii="仿宋_GB2312" w:eastAsia="仿宋_GB2312"/>
          <w:color w:val="333333"/>
          <w:sz w:val="28"/>
          <w:szCs w:val="28"/>
        </w:rPr>
        <w:t>　　（三）其他应当办理占有产权登记的情形。</w:t>
      </w:r>
      <w:r>
        <w:rPr>
          <w:rFonts w:hint="eastAsia" w:ascii="仿宋_GB2312" w:eastAsia="仿宋_GB2312"/>
          <w:color w:val="333333"/>
          <w:sz w:val="28"/>
          <w:szCs w:val="28"/>
        </w:rPr>
        <w:br w:type="textWrapping"/>
      </w:r>
      <w:r>
        <w:rPr>
          <w:rFonts w:hint="eastAsia" w:ascii="仿宋_GB2312" w:eastAsia="仿宋_GB2312"/>
          <w:color w:val="333333"/>
          <w:sz w:val="28"/>
          <w:szCs w:val="28"/>
        </w:rPr>
        <w:t>　　</w:t>
      </w:r>
      <w:r>
        <w:rPr>
          <w:rStyle w:val="9"/>
          <w:rFonts w:hint="eastAsia" w:ascii="仿宋_GB2312" w:eastAsia="仿宋_GB2312"/>
          <w:color w:val="333333"/>
          <w:sz w:val="28"/>
          <w:szCs w:val="28"/>
        </w:rPr>
        <w:t>第十二条</w:t>
      </w:r>
      <w:r>
        <w:rPr>
          <w:rFonts w:hint="eastAsia" w:ascii="仿宋_GB2312" w:eastAsia="仿宋_GB2312"/>
          <w:color w:val="333333"/>
          <w:sz w:val="28"/>
          <w:szCs w:val="28"/>
        </w:rPr>
        <w:t>　占有产权登记应包括下列内容：</w:t>
      </w:r>
      <w:r>
        <w:rPr>
          <w:rFonts w:hint="eastAsia" w:ascii="仿宋_GB2312" w:eastAsia="仿宋_GB2312"/>
          <w:color w:val="333333"/>
          <w:sz w:val="28"/>
          <w:szCs w:val="28"/>
        </w:rPr>
        <w:br w:type="textWrapping"/>
      </w:r>
      <w:r>
        <w:rPr>
          <w:rFonts w:hint="eastAsia" w:ascii="仿宋_GB2312" w:eastAsia="仿宋_GB2312"/>
          <w:color w:val="333333"/>
          <w:sz w:val="28"/>
          <w:szCs w:val="28"/>
        </w:rPr>
        <w:t>　　（一）企业出资人及出资人类别、出资额、出资形式；</w:t>
      </w:r>
      <w:r>
        <w:rPr>
          <w:rFonts w:hint="eastAsia" w:ascii="仿宋_GB2312" w:eastAsia="仿宋_GB2312"/>
          <w:color w:val="333333"/>
          <w:sz w:val="28"/>
          <w:szCs w:val="28"/>
        </w:rPr>
        <w:br w:type="textWrapping"/>
      </w:r>
      <w:r>
        <w:rPr>
          <w:rFonts w:hint="eastAsia" w:ascii="仿宋_GB2312" w:eastAsia="仿宋_GB2312"/>
          <w:color w:val="333333"/>
          <w:sz w:val="28"/>
          <w:szCs w:val="28"/>
        </w:rPr>
        <w:t>　　（二）企业注册资本、股权比例；</w:t>
      </w:r>
      <w:r>
        <w:rPr>
          <w:rFonts w:hint="eastAsia" w:ascii="仿宋_GB2312" w:eastAsia="仿宋_GB2312"/>
          <w:color w:val="333333"/>
          <w:sz w:val="28"/>
          <w:szCs w:val="28"/>
        </w:rPr>
        <w:br w:type="textWrapping"/>
      </w:r>
      <w:r>
        <w:rPr>
          <w:rFonts w:hint="eastAsia" w:ascii="仿宋_GB2312" w:eastAsia="仿宋_GB2312"/>
          <w:color w:val="333333"/>
          <w:sz w:val="28"/>
          <w:szCs w:val="28"/>
        </w:rPr>
        <w:t>　　（三）企业名称及在国家出资企业中所处级次；</w:t>
      </w:r>
      <w:r>
        <w:rPr>
          <w:rFonts w:hint="eastAsia" w:ascii="仿宋_GB2312" w:eastAsia="仿宋_GB2312"/>
          <w:color w:val="333333"/>
          <w:sz w:val="28"/>
          <w:szCs w:val="28"/>
        </w:rPr>
        <w:br w:type="textWrapping"/>
      </w:r>
      <w:r>
        <w:rPr>
          <w:rFonts w:hint="eastAsia" w:ascii="仿宋_GB2312" w:eastAsia="仿宋_GB2312"/>
          <w:color w:val="333333"/>
          <w:sz w:val="28"/>
          <w:szCs w:val="28"/>
        </w:rPr>
        <w:t>　　（四）企业组织形式；</w:t>
      </w:r>
      <w:r>
        <w:rPr>
          <w:rFonts w:hint="eastAsia" w:ascii="仿宋_GB2312" w:eastAsia="仿宋_GB2312"/>
          <w:color w:val="333333"/>
          <w:sz w:val="28"/>
          <w:szCs w:val="28"/>
        </w:rPr>
        <w:br w:type="textWrapping"/>
      </w:r>
      <w:r>
        <w:rPr>
          <w:rFonts w:hint="eastAsia" w:ascii="仿宋_GB2312" w:eastAsia="仿宋_GB2312"/>
          <w:color w:val="333333"/>
          <w:sz w:val="28"/>
          <w:szCs w:val="28"/>
        </w:rPr>
        <w:t>　　（五）企业注册时间、注册地；</w:t>
      </w:r>
      <w:r>
        <w:rPr>
          <w:rFonts w:hint="eastAsia" w:ascii="仿宋_GB2312" w:eastAsia="仿宋_GB2312"/>
          <w:color w:val="333333"/>
          <w:sz w:val="28"/>
          <w:szCs w:val="28"/>
        </w:rPr>
        <w:br w:type="textWrapping"/>
      </w:r>
      <w:r>
        <w:rPr>
          <w:rFonts w:hint="eastAsia" w:ascii="仿宋_GB2312" w:eastAsia="仿宋_GB2312"/>
          <w:color w:val="333333"/>
          <w:sz w:val="28"/>
          <w:szCs w:val="28"/>
        </w:rPr>
        <w:t>　　（六）企业主营业务范围；</w:t>
      </w:r>
      <w:r>
        <w:rPr>
          <w:rFonts w:hint="eastAsia" w:ascii="仿宋_GB2312" w:eastAsia="仿宋_GB2312"/>
          <w:color w:val="333333"/>
          <w:sz w:val="28"/>
          <w:szCs w:val="28"/>
        </w:rPr>
        <w:br w:type="textWrapping"/>
      </w:r>
      <w:r>
        <w:rPr>
          <w:rFonts w:hint="eastAsia" w:ascii="仿宋_GB2312" w:eastAsia="仿宋_GB2312"/>
          <w:color w:val="333333"/>
          <w:sz w:val="28"/>
          <w:szCs w:val="28"/>
        </w:rPr>
        <w:t>　　（七）国有资产监督管理机构要求的其他内容。</w:t>
      </w:r>
      <w:r>
        <w:rPr>
          <w:rFonts w:hint="eastAsia" w:ascii="仿宋_GB2312" w:eastAsia="仿宋_GB2312"/>
          <w:color w:val="333333"/>
          <w:sz w:val="28"/>
          <w:szCs w:val="28"/>
        </w:rPr>
        <w:br w:type="textWrapping"/>
      </w:r>
      <w:r>
        <w:rPr>
          <w:rFonts w:hint="eastAsia" w:ascii="仿宋_GB2312" w:eastAsia="仿宋_GB2312"/>
          <w:color w:val="333333"/>
          <w:sz w:val="28"/>
          <w:szCs w:val="28"/>
        </w:rPr>
        <w:t>　　</w:t>
      </w:r>
      <w:r>
        <w:rPr>
          <w:rStyle w:val="9"/>
          <w:rFonts w:hint="eastAsia" w:ascii="仿宋_GB2312" w:eastAsia="仿宋_GB2312"/>
          <w:color w:val="333333"/>
          <w:sz w:val="28"/>
          <w:szCs w:val="28"/>
        </w:rPr>
        <w:t>第十三条</w:t>
      </w:r>
      <w:r>
        <w:rPr>
          <w:rFonts w:hint="eastAsia" w:ascii="仿宋_GB2312" w:eastAsia="仿宋_GB2312"/>
          <w:color w:val="333333"/>
          <w:sz w:val="28"/>
          <w:szCs w:val="28"/>
        </w:rPr>
        <w:t>　有下列情形之一的，应当办理变动产权登记：</w:t>
      </w:r>
      <w:r>
        <w:rPr>
          <w:rFonts w:hint="eastAsia" w:ascii="仿宋_GB2312" w:eastAsia="仿宋_GB2312"/>
          <w:color w:val="333333"/>
          <w:sz w:val="28"/>
          <w:szCs w:val="28"/>
        </w:rPr>
        <w:br w:type="textWrapping"/>
      </w:r>
      <w:r>
        <w:rPr>
          <w:rFonts w:hint="eastAsia" w:ascii="仿宋_GB2312" w:eastAsia="仿宋_GB2312"/>
          <w:color w:val="333333"/>
          <w:sz w:val="28"/>
          <w:szCs w:val="28"/>
        </w:rPr>
        <w:t>　　（一）履行出资人职责的机构和履行出资人职责的企业名称、持股比例改变的；</w:t>
      </w:r>
      <w:r>
        <w:rPr>
          <w:rFonts w:hint="eastAsia" w:ascii="仿宋_GB2312" w:eastAsia="仿宋_GB2312"/>
          <w:color w:val="333333"/>
          <w:sz w:val="28"/>
          <w:szCs w:val="28"/>
        </w:rPr>
        <w:br w:type="textWrapping"/>
      </w:r>
      <w:r>
        <w:rPr>
          <w:rFonts w:hint="eastAsia" w:ascii="仿宋_GB2312" w:eastAsia="仿宋_GB2312"/>
          <w:color w:val="333333"/>
          <w:sz w:val="28"/>
          <w:szCs w:val="28"/>
        </w:rPr>
        <w:t>　　（二）企业注册资本改变的；</w:t>
      </w:r>
      <w:r>
        <w:rPr>
          <w:rFonts w:hint="eastAsia" w:ascii="仿宋_GB2312" w:eastAsia="仿宋_GB2312"/>
          <w:color w:val="333333"/>
          <w:sz w:val="28"/>
          <w:szCs w:val="28"/>
        </w:rPr>
        <w:br w:type="textWrapping"/>
      </w:r>
      <w:r>
        <w:rPr>
          <w:rFonts w:hint="eastAsia" w:ascii="仿宋_GB2312" w:eastAsia="仿宋_GB2312"/>
          <w:color w:val="333333"/>
          <w:sz w:val="28"/>
          <w:szCs w:val="28"/>
        </w:rPr>
        <w:t>　　（三）企业名称改变的；</w:t>
      </w:r>
      <w:r>
        <w:rPr>
          <w:rFonts w:hint="eastAsia" w:ascii="仿宋_GB2312" w:eastAsia="仿宋_GB2312"/>
          <w:color w:val="333333"/>
          <w:sz w:val="28"/>
          <w:szCs w:val="28"/>
        </w:rPr>
        <w:br w:type="textWrapping"/>
      </w:r>
      <w:r>
        <w:rPr>
          <w:rFonts w:hint="eastAsia" w:ascii="仿宋_GB2312" w:eastAsia="仿宋_GB2312"/>
          <w:color w:val="333333"/>
          <w:sz w:val="28"/>
          <w:szCs w:val="28"/>
        </w:rPr>
        <w:t>　　（四）企业组织形式改变的；</w:t>
      </w:r>
      <w:r>
        <w:rPr>
          <w:rFonts w:hint="eastAsia" w:ascii="仿宋_GB2312" w:eastAsia="仿宋_GB2312"/>
          <w:color w:val="333333"/>
          <w:sz w:val="28"/>
          <w:szCs w:val="28"/>
        </w:rPr>
        <w:br w:type="textWrapping"/>
      </w:r>
      <w:r>
        <w:rPr>
          <w:rFonts w:hint="eastAsia" w:ascii="仿宋_GB2312" w:eastAsia="仿宋_GB2312"/>
          <w:color w:val="333333"/>
          <w:sz w:val="28"/>
          <w:szCs w:val="28"/>
        </w:rPr>
        <w:t>　　（五）企业注册地改变的；</w:t>
      </w:r>
      <w:r>
        <w:rPr>
          <w:rFonts w:hint="eastAsia" w:ascii="仿宋_GB2312" w:eastAsia="仿宋_GB2312"/>
          <w:color w:val="333333"/>
          <w:sz w:val="28"/>
          <w:szCs w:val="28"/>
        </w:rPr>
        <w:br w:type="textWrapping"/>
      </w:r>
      <w:r>
        <w:rPr>
          <w:rFonts w:hint="eastAsia" w:ascii="仿宋_GB2312" w:eastAsia="仿宋_GB2312"/>
          <w:color w:val="333333"/>
          <w:sz w:val="28"/>
          <w:szCs w:val="28"/>
        </w:rPr>
        <w:t>　　（六）企业主营业务改变的；</w:t>
      </w:r>
      <w:r>
        <w:rPr>
          <w:rFonts w:hint="eastAsia" w:ascii="仿宋_GB2312" w:eastAsia="仿宋_GB2312"/>
          <w:color w:val="333333"/>
          <w:sz w:val="28"/>
          <w:szCs w:val="28"/>
        </w:rPr>
        <w:br w:type="textWrapping"/>
      </w:r>
      <w:r>
        <w:rPr>
          <w:rFonts w:hint="eastAsia" w:ascii="仿宋_GB2312" w:eastAsia="仿宋_GB2312"/>
          <w:color w:val="333333"/>
          <w:sz w:val="28"/>
          <w:szCs w:val="28"/>
        </w:rPr>
        <w:t>　　（七）其他应当办理变动产权登记的情形。</w:t>
      </w:r>
      <w:r>
        <w:rPr>
          <w:rFonts w:hint="eastAsia" w:ascii="仿宋_GB2312" w:eastAsia="仿宋_GB2312"/>
          <w:color w:val="333333"/>
          <w:sz w:val="28"/>
          <w:szCs w:val="28"/>
        </w:rPr>
        <w:br w:type="textWrapping"/>
      </w:r>
      <w:r>
        <w:rPr>
          <w:rFonts w:hint="eastAsia" w:ascii="仿宋_GB2312" w:eastAsia="仿宋_GB2312"/>
          <w:color w:val="333333"/>
          <w:sz w:val="28"/>
          <w:szCs w:val="28"/>
        </w:rPr>
        <w:t>　　</w:t>
      </w:r>
      <w:r>
        <w:rPr>
          <w:rStyle w:val="9"/>
          <w:rFonts w:hint="eastAsia" w:ascii="仿宋_GB2312" w:eastAsia="仿宋_GB2312"/>
          <w:color w:val="333333"/>
          <w:sz w:val="28"/>
          <w:szCs w:val="28"/>
        </w:rPr>
        <w:t>第十四条</w:t>
      </w:r>
      <w:r>
        <w:rPr>
          <w:rFonts w:hint="eastAsia" w:ascii="仿宋_GB2312" w:eastAsia="仿宋_GB2312"/>
          <w:color w:val="333333"/>
          <w:sz w:val="28"/>
          <w:szCs w:val="28"/>
        </w:rPr>
        <w:t>　有下列情形之一的，应当办理注销产权登记：</w:t>
      </w:r>
      <w:r>
        <w:rPr>
          <w:rFonts w:hint="eastAsia" w:ascii="仿宋_GB2312" w:eastAsia="仿宋_GB2312"/>
          <w:color w:val="333333"/>
          <w:sz w:val="28"/>
          <w:szCs w:val="28"/>
        </w:rPr>
        <w:br w:type="textWrapping"/>
      </w:r>
      <w:r>
        <w:rPr>
          <w:rFonts w:hint="eastAsia" w:ascii="仿宋_GB2312" w:eastAsia="仿宋_GB2312"/>
          <w:color w:val="333333"/>
          <w:sz w:val="28"/>
          <w:szCs w:val="28"/>
        </w:rPr>
        <w:t>　　（一）因解散、破产进行清算，并注销企业法人资格的；</w:t>
      </w:r>
      <w:r>
        <w:rPr>
          <w:rFonts w:hint="eastAsia" w:ascii="仿宋_GB2312" w:eastAsia="仿宋_GB2312"/>
          <w:color w:val="333333"/>
          <w:sz w:val="28"/>
          <w:szCs w:val="28"/>
        </w:rPr>
        <w:br w:type="textWrapping"/>
      </w:r>
      <w:r>
        <w:rPr>
          <w:rFonts w:hint="eastAsia" w:ascii="仿宋_GB2312" w:eastAsia="仿宋_GB2312"/>
          <w:color w:val="333333"/>
          <w:sz w:val="28"/>
          <w:szCs w:val="28"/>
        </w:rPr>
        <w:t>　　（二）因产权转让、减资、股权出资、出资人性质改变等导致企业出资人中不再存续履行出资人职责的机构和履行出资人职责的企业的；</w:t>
      </w:r>
      <w:r>
        <w:rPr>
          <w:rFonts w:hint="eastAsia" w:ascii="仿宋_GB2312" w:eastAsia="仿宋_GB2312"/>
          <w:color w:val="333333"/>
          <w:sz w:val="28"/>
          <w:szCs w:val="28"/>
        </w:rPr>
        <w:br w:type="textWrapping"/>
      </w:r>
      <w:r>
        <w:rPr>
          <w:rFonts w:hint="eastAsia" w:ascii="仿宋_GB2312" w:eastAsia="仿宋_GB2312"/>
          <w:color w:val="333333"/>
          <w:sz w:val="28"/>
          <w:szCs w:val="28"/>
        </w:rPr>
        <w:t>　　（三）其他应当办理注销产权登记的情形。</w:t>
      </w:r>
    </w:p>
    <w:p>
      <w:pPr>
        <w:pStyle w:val="5"/>
        <w:shd w:val="clear" w:color="auto" w:fill="FFFFFF"/>
        <w:spacing w:before="208" w:beforeAutospacing="0" w:after="0" w:afterAutospacing="0"/>
        <w:jc w:val="center"/>
        <w:rPr>
          <w:rFonts w:ascii="仿宋_GB2312" w:eastAsia="仿宋_GB2312"/>
          <w:b/>
          <w:color w:val="333333"/>
          <w:sz w:val="28"/>
          <w:szCs w:val="28"/>
        </w:rPr>
      </w:pPr>
      <w:r>
        <w:rPr>
          <w:rFonts w:hint="eastAsia" w:ascii="仿宋_GB2312" w:eastAsia="仿宋_GB2312"/>
          <w:b/>
          <w:color w:val="333333"/>
          <w:sz w:val="28"/>
          <w:szCs w:val="28"/>
        </w:rPr>
        <w:t>第三章　产权登记程序</w:t>
      </w:r>
    </w:p>
    <w:p>
      <w:pPr>
        <w:pStyle w:val="5"/>
        <w:shd w:val="clear" w:color="auto" w:fill="FFFFFF"/>
        <w:spacing w:before="208" w:beforeAutospacing="0" w:after="0" w:afterAutospacing="0"/>
        <w:rPr>
          <w:rFonts w:ascii="仿宋_GB2312" w:eastAsia="仿宋_GB2312"/>
          <w:color w:val="333333"/>
          <w:sz w:val="28"/>
          <w:szCs w:val="28"/>
        </w:rPr>
      </w:pPr>
      <w:r>
        <w:rPr>
          <w:rFonts w:hint="eastAsia" w:ascii="仿宋_GB2312" w:eastAsia="仿宋_GB2312"/>
          <w:color w:val="333333"/>
          <w:sz w:val="28"/>
          <w:szCs w:val="28"/>
        </w:rPr>
        <w:t>　　</w:t>
      </w:r>
      <w:r>
        <w:rPr>
          <w:rStyle w:val="9"/>
          <w:rFonts w:hint="eastAsia" w:ascii="仿宋_GB2312" w:eastAsia="仿宋_GB2312"/>
          <w:color w:val="333333"/>
          <w:sz w:val="28"/>
          <w:szCs w:val="28"/>
        </w:rPr>
        <w:t>第十五条</w:t>
      </w:r>
      <w:r>
        <w:rPr>
          <w:rFonts w:hint="eastAsia" w:ascii="仿宋_GB2312" w:eastAsia="仿宋_GB2312"/>
          <w:color w:val="333333"/>
          <w:sz w:val="28"/>
          <w:szCs w:val="28"/>
        </w:rPr>
        <w:t>　企业发生产权登记相关经济行为时，应当自相关经济行为完成后20个工作日内，在办理工商登记前，申请办理产权登记。企业注销法人资格的，应当在办理工商注销登记后，及时办理注销产权登记。</w:t>
      </w:r>
      <w:r>
        <w:rPr>
          <w:rFonts w:hint="eastAsia" w:ascii="仿宋_GB2312" w:eastAsia="仿宋_GB2312"/>
          <w:color w:val="333333"/>
          <w:sz w:val="28"/>
          <w:szCs w:val="28"/>
        </w:rPr>
        <w:br w:type="textWrapping"/>
      </w:r>
      <w:r>
        <w:rPr>
          <w:rFonts w:hint="eastAsia" w:ascii="仿宋_GB2312" w:eastAsia="仿宋_GB2312"/>
          <w:color w:val="333333"/>
          <w:sz w:val="28"/>
          <w:szCs w:val="28"/>
        </w:rPr>
        <w:t>　　</w:t>
      </w:r>
      <w:r>
        <w:rPr>
          <w:rStyle w:val="9"/>
          <w:rFonts w:hint="eastAsia" w:ascii="仿宋_GB2312" w:eastAsia="仿宋_GB2312"/>
          <w:color w:val="333333"/>
          <w:sz w:val="28"/>
          <w:szCs w:val="28"/>
        </w:rPr>
        <w:t>第十六条</w:t>
      </w:r>
      <w:r>
        <w:rPr>
          <w:rFonts w:hint="eastAsia" w:ascii="仿宋_GB2312" w:eastAsia="仿宋_GB2312"/>
          <w:color w:val="333333"/>
          <w:sz w:val="28"/>
          <w:szCs w:val="28"/>
        </w:rPr>
        <w:t>　企业申请办理产权登记，应当由履行出资人职责的企业按照填报要求，填写有关登记内容和相关经济行为合规性资料目录，逐级报送国家出资企业，国家出资企业负责对登记内容及相关经济行为的合规性进行审核后，向国有资产监督管理机构申请登记。</w:t>
      </w:r>
      <w:r>
        <w:rPr>
          <w:rFonts w:hint="eastAsia" w:ascii="仿宋_GB2312" w:eastAsia="仿宋_GB2312"/>
          <w:color w:val="333333"/>
          <w:sz w:val="28"/>
          <w:szCs w:val="28"/>
        </w:rPr>
        <w:br w:type="textWrapping"/>
      </w:r>
      <w:r>
        <w:rPr>
          <w:rFonts w:hint="eastAsia" w:ascii="仿宋_GB2312" w:eastAsia="仿宋_GB2312"/>
          <w:color w:val="333333"/>
          <w:sz w:val="28"/>
          <w:szCs w:val="28"/>
        </w:rPr>
        <w:t>　　同一国有资产监督管理机构及其管理的多个履行出资人职责的企业共同出资的企业，由拥有实际控制权的一方负责申请办理产权登记；任一方均不拥有实际控制权的，由持股比例最大的一方负责申请办理产权登记；各方持股比例相等的，由其共同推举一方负责申请办理产权登记。</w:t>
      </w:r>
      <w:r>
        <w:rPr>
          <w:rFonts w:hint="eastAsia" w:ascii="仿宋_GB2312" w:eastAsia="仿宋_GB2312"/>
          <w:color w:val="333333"/>
          <w:sz w:val="28"/>
          <w:szCs w:val="28"/>
        </w:rPr>
        <w:br w:type="textWrapping"/>
      </w:r>
      <w:r>
        <w:rPr>
          <w:rFonts w:hint="eastAsia" w:ascii="仿宋_GB2312" w:eastAsia="仿宋_GB2312"/>
          <w:color w:val="333333"/>
          <w:sz w:val="28"/>
          <w:szCs w:val="28"/>
        </w:rPr>
        <w:t>　　非同一国有资产监督管理机构及其管理的多个履行出资人职责的企业共同出资的企业，由各方分别申请办理产权登记。</w:t>
      </w:r>
      <w:r>
        <w:rPr>
          <w:rFonts w:hint="eastAsia" w:ascii="仿宋_GB2312" w:eastAsia="仿宋_GB2312"/>
          <w:color w:val="333333"/>
          <w:sz w:val="28"/>
          <w:szCs w:val="28"/>
        </w:rPr>
        <w:br w:type="textWrapping"/>
      </w:r>
      <w:r>
        <w:rPr>
          <w:rFonts w:hint="eastAsia" w:ascii="仿宋_GB2312" w:eastAsia="仿宋_GB2312"/>
          <w:color w:val="333333"/>
          <w:sz w:val="28"/>
          <w:szCs w:val="28"/>
        </w:rPr>
        <w:t>　　</w:t>
      </w:r>
      <w:r>
        <w:rPr>
          <w:rStyle w:val="9"/>
          <w:rFonts w:hint="eastAsia" w:ascii="仿宋_GB2312" w:eastAsia="仿宋_GB2312"/>
          <w:color w:val="333333"/>
          <w:sz w:val="28"/>
          <w:szCs w:val="28"/>
        </w:rPr>
        <w:t>第十七条</w:t>
      </w:r>
      <w:r>
        <w:rPr>
          <w:rFonts w:hint="eastAsia" w:ascii="仿宋_GB2312" w:eastAsia="仿宋_GB2312"/>
          <w:color w:val="333333"/>
          <w:sz w:val="28"/>
          <w:szCs w:val="28"/>
        </w:rPr>
        <w:t>　国有资产监督管理机构自国家出资企业报送产权登记信息10个工作日内，对符合登记要求的企业予以登记；对相关经济行为操作过程中存在瑕疵的企业，国有资产监督管理机构应当向国家出资企业下发限期整改通知书，完成整改后予以登记。</w:t>
      </w:r>
      <w:r>
        <w:rPr>
          <w:rFonts w:hint="eastAsia" w:ascii="仿宋_GB2312" w:eastAsia="仿宋_GB2312"/>
          <w:color w:val="333333"/>
          <w:sz w:val="28"/>
          <w:szCs w:val="28"/>
        </w:rPr>
        <w:br w:type="textWrapping"/>
      </w:r>
      <w:r>
        <w:rPr>
          <w:rFonts w:hint="eastAsia" w:ascii="仿宋_GB2312" w:eastAsia="仿宋_GB2312"/>
          <w:color w:val="333333"/>
          <w:sz w:val="28"/>
          <w:szCs w:val="28"/>
        </w:rPr>
        <w:t>　　</w:t>
      </w:r>
      <w:r>
        <w:rPr>
          <w:rStyle w:val="9"/>
          <w:rFonts w:hint="eastAsia" w:ascii="仿宋_GB2312" w:eastAsia="仿宋_GB2312"/>
          <w:color w:val="333333"/>
          <w:sz w:val="28"/>
          <w:szCs w:val="28"/>
        </w:rPr>
        <w:t>第十八条</w:t>
      </w:r>
      <w:r>
        <w:rPr>
          <w:rFonts w:hint="eastAsia" w:ascii="仿宋_GB2312" w:eastAsia="仿宋_GB2312"/>
          <w:color w:val="333333"/>
          <w:sz w:val="28"/>
          <w:szCs w:val="28"/>
        </w:rPr>
        <w:t>　已办理产权登记的国家出资企业，由国有资产监督管理机构核发产权登记证；已办理产权登记的其他企业，由国有资产监督管理机构或者由国有资产监督管理机构授权国家出资企业核发产权登记表。</w:t>
      </w:r>
      <w:r>
        <w:rPr>
          <w:rFonts w:hint="eastAsia" w:ascii="仿宋_GB2312" w:eastAsia="仿宋_GB2312"/>
          <w:color w:val="333333"/>
          <w:sz w:val="28"/>
          <w:szCs w:val="28"/>
        </w:rPr>
        <w:br w:type="textWrapping"/>
      </w:r>
      <w:r>
        <w:rPr>
          <w:rFonts w:hint="eastAsia" w:ascii="仿宋_GB2312" w:eastAsia="仿宋_GB2312"/>
          <w:color w:val="333333"/>
          <w:sz w:val="28"/>
          <w:szCs w:val="28"/>
        </w:rPr>
        <w:t>　　产权登记证、登记表是企业办结产权登记的证明，是客观记载企业产权状况基本信息的文件。产权登记证、登记表的格式和内容由国务院国有资产监督管理机构统一制发，企业在使用过程中不得擅自修改。</w:t>
      </w:r>
      <w:r>
        <w:rPr>
          <w:rFonts w:hint="eastAsia" w:ascii="仿宋_GB2312" w:eastAsia="仿宋_GB2312"/>
          <w:color w:val="333333"/>
          <w:sz w:val="28"/>
          <w:szCs w:val="28"/>
        </w:rPr>
        <w:br w:type="textWrapping"/>
      </w:r>
      <w:r>
        <w:rPr>
          <w:rFonts w:hint="eastAsia" w:ascii="仿宋_GB2312" w:eastAsia="仿宋_GB2312"/>
          <w:color w:val="333333"/>
          <w:sz w:val="28"/>
          <w:szCs w:val="28"/>
        </w:rPr>
        <w:t>　　</w:t>
      </w:r>
      <w:r>
        <w:rPr>
          <w:rStyle w:val="9"/>
          <w:rFonts w:hint="eastAsia" w:ascii="仿宋_GB2312" w:eastAsia="仿宋_GB2312"/>
          <w:color w:val="333333"/>
          <w:sz w:val="28"/>
          <w:szCs w:val="28"/>
        </w:rPr>
        <w:t>第十九条</w:t>
      </w:r>
      <w:r>
        <w:rPr>
          <w:rFonts w:hint="eastAsia" w:ascii="仿宋_GB2312" w:eastAsia="仿宋_GB2312"/>
          <w:color w:val="333333"/>
          <w:sz w:val="28"/>
          <w:szCs w:val="28"/>
        </w:rPr>
        <w:t>　企业应当在办理工商登记后10个工作日内，将企业法人营业执照或者工商变更登记表报送国有资产监督管理机构；工商登记信息与产权登记信息存在不一致的，企业应当核实相关资料，涉及变更产权登记信息的，企业应当修改后重新报送，国有资产监督管理机构或者国家出资企业对相关登记信息进行确认后重新核发产权登记证、登记表。</w:t>
      </w:r>
      <w:r>
        <w:rPr>
          <w:rFonts w:hint="eastAsia" w:ascii="仿宋_GB2312" w:eastAsia="仿宋_GB2312"/>
          <w:color w:val="333333"/>
          <w:sz w:val="28"/>
          <w:szCs w:val="28"/>
        </w:rPr>
        <w:br w:type="textWrapping"/>
      </w:r>
      <w:r>
        <w:rPr>
          <w:rFonts w:hint="eastAsia" w:ascii="仿宋_GB2312" w:eastAsia="仿宋_GB2312"/>
          <w:color w:val="333333"/>
          <w:sz w:val="28"/>
          <w:szCs w:val="28"/>
        </w:rPr>
        <w:t>　　</w:t>
      </w:r>
      <w:r>
        <w:rPr>
          <w:rStyle w:val="9"/>
          <w:rFonts w:hint="eastAsia" w:ascii="仿宋_GB2312" w:eastAsia="仿宋_GB2312"/>
          <w:color w:val="333333"/>
          <w:sz w:val="28"/>
          <w:szCs w:val="28"/>
        </w:rPr>
        <w:t>第二十条</w:t>
      </w:r>
      <w:r>
        <w:rPr>
          <w:rFonts w:hint="eastAsia" w:ascii="仿宋_GB2312" w:eastAsia="仿宋_GB2312"/>
          <w:color w:val="333333"/>
          <w:sz w:val="28"/>
          <w:szCs w:val="28"/>
        </w:rPr>
        <w:t>　产权登记仅涉及企业名称、注册地、主营业务等基础信息改变的，可在办理工商登记后申请办理产权登记。</w:t>
      </w:r>
    </w:p>
    <w:p>
      <w:pPr>
        <w:pStyle w:val="5"/>
        <w:shd w:val="clear" w:color="auto" w:fill="FFFFFF"/>
        <w:spacing w:before="208" w:beforeAutospacing="0" w:after="0" w:afterAutospacing="0"/>
        <w:jc w:val="center"/>
        <w:rPr>
          <w:rFonts w:ascii="仿宋_GB2312" w:eastAsia="仿宋_GB2312"/>
          <w:b/>
          <w:color w:val="333333"/>
          <w:sz w:val="28"/>
          <w:szCs w:val="28"/>
        </w:rPr>
      </w:pPr>
      <w:r>
        <w:rPr>
          <w:rFonts w:hint="eastAsia" w:ascii="仿宋_GB2312" w:eastAsia="仿宋_GB2312"/>
          <w:b/>
          <w:color w:val="333333"/>
          <w:sz w:val="28"/>
          <w:szCs w:val="28"/>
        </w:rPr>
        <w:t>第四章　产权登记管理</w:t>
      </w:r>
    </w:p>
    <w:p>
      <w:pPr>
        <w:pStyle w:val="5"/>
        <w:shd w:val="clear" w:color="auto" w:fill="FFFFFF"/>
        <w:spacing w:before="208" w:beforeAutospacing="0" w:after="0" w:afterAutospacing="0"/>
        <w:rPr>
          <w:rFonts w:ascii="仿宋_GB2312" w:eastAsia="仿宋_GB2312"/>
          <w:color w:val="333333"/>
          <w:sz w:val="28"/>
          <w:szCs w:val="28"/>
        </w:rPr>
      </w:pPr>
      <w:r>
        <w:rPr>
          <w:rFonts w:hint="eastAsia" w:ascii="仿宋_GB2312" w:eastAsia="仿宋_GB2312"/>
          <w:color w:val="333333"/>
          <w:sz w:val="28"/>
          <w:szCs w:val="28"/>
        </w:rPr>
        <w:t>　　</w:t>
      </w:r>
      <w:r>
        <w:rPr>
          <w:rStyle w:val="9"/>
          <w:rFonts w:hint="eastAsia" w:ascii="仿宋_GB2312" w:eastAsia="仿宋_GB2312"/>
          <w:color w:val="333333"/>
          <w:sz w:val="28"/>
          <w:szCs w:val="28"/>
        </w:rPr>
        <w:t>第二十一条</w:t>
      </w:r>
      <w:r>
        <w:rPr>
          <w:rFonts w:hint="eastAsia" w:ascii="仿宋_GB2312" w:eastAsia="仿宋_GB2312"/>
          <w:color w:val="333333"/>
          <w:sz w:val="28"/>
          <w:szCs w:val="28"/>
        </w:rPr>
        <w:t>　国家出资企业应当建立健全产权登记制度和工作体系，落实产权登记管理工作责任，并对制度执行情况进行监督检查。年度检查结果应当书面报告国有资产监督管理机构。</w:t>
      </w:r>
      <w:r>
        <w:rPr>
          <w:rFonts w:hint="eastAsia" w:ascii="仿宋_GB2312" w:eastAsia="仿宋_GB2312"/>
          <w:color w:val="333333"/>
          <w:sz w:val="28"/>
          <w:szCs w:val="28"/>
        </w:rPr>
        <w:br w:type="textWrapping"/>
      </w:r>
      <w:r>
        <w:rPr>
          <w:rFonts w:hint="eastAsia" w:ascii="仿宋_GB2312" w:eastAsia="仿宋_GB2312"/>
          <w:color w:val="333333"/>
          <w:sz w:val="28"/>
          <w:szCs w:val="28"/>
        </w:rPr>
        <w:t>　　</w:t>
      </w:r>
      <w:r>
        <w:rPr>
          <w:rStyle w:val="9"/>
          <w:rFonts w:hint="eastAsia" w:ascii="仿宋_GB2312" w:eastAsia="仿宋_GB2312"/>
          <w:color w:val="333333"/>
          <w:sz w:val="28"/>
          <w:szCs w:val="28"/>
        </w:rPr>
        <w:t>第二十二条</w:t>
      </w:r>
      <w:r>
        <w:rPr>
          <w:rFonts w:hint="eastAsia" w:ascii="仿宋_GB2312" w:eastAsia="仿宋_GB2312"/>
          <w:color w:val="333333"/>
          <w:sz w:val="28"/>
          <w:szCs w:val="28"/>
        </w:rPr>
        <w:t>　各级国有资产监督管理机构应当对企业产权登记工作的日常登记情况、年度检查情况和限期整改事项落实情况等进行检查，并予以通报。</w:t>
      </w:r>
      <w:r>
        <w:rPr>
          <w:rFonts w:hint="eastAsia" w:ascii="仿宋_GB2312" w:eastAsia="仿宋_GB2312"/>
          <w:color w:val="333333"/>
          <w:sz w:val="28"/>
          <w:szCs w:val="28"/>
        </w:rPr>
        <w:br w:type="textWrapping"/>
      </w:r>
      <w:r>
        <w:rPr>
          <w:rFonts w:hint="eastAsia" w:ascii="仿宋_GB2312" w:eastAsia="仿宋_GB2312"/>
          <w:color w:val="333333"/>
          <w:sz w:val="28"/>
          <w:szCs w:val="28"/>
        </w:rPr>
        <w:t>　　</w:t>
      </w:r>
      <w:r>
        <w:rPr>
          <w:rStyle w:val="9"/>
          <w:rFonts w:hint="eastAsia" w:ascii="仿宋_GB2312" w:eastAsia="仿宋_GB2312"/>
          <w:color w:val="333333"/>
          <w:sz w:val="28"/>
          <w:szCs w:val="28"/>
        </w:rPr>
        <w:t>第二十三条</w:t>
      </w:r>
      <w:r>
        <w:rPr>
          <w:rFonts w:hint="eastAsia" w:ascii="仿宋_GB2312" w:eastAsia="仿宋_GB2312"/>
          <w:color w:val="333333"/>
          <w:sz w:val="28"/>
          <w:szCs w:val="28"/>
        </w:rPr>
        <w:t>　国有资产监督管理机构、国家出资企业应当建立健全产权登记档案管理制度；国家出资企业对办理完成的产权登记事项，应当及时将合规性资料目录中所列资料整理归档，分户建立企业产权登记档案。</w:t>
      </w:r>
      <w:r>
        <w:rPr>
          <w:rFonts w:hint="eastAsia" w:ascii="仿宋_GB2312" w:eastAsia="仿宋_GB2312"/>
          <w:color w:val="333333"/>
          <w:sz w:val="28"/>
          <w:szCs w:val="28"/>
        </w:rPr>
        <w:br w:type="textWrapping"/>
      </w:r>
      <w:r>
        <w:rPr>
          <w:rFonts w:hint="eastAsia" w:ascii="仿宋_GB2312" w:eastAsia="仿宋_GB2312"/>
          <w:color w:val="333333"/>
          <w:sz w:val="28"/>
          <w:szCs w:val="28"/>
        </w:rPr>
        <w:t>　　</w:t>
      </w:r>
      <w:r>
        <w:rPr>
          <w:rStyle w:val="9"/>
          <w:rFonts w:hint="eastAsia" w:ascii="仿宋_GB2312" w:eastAsia="仿宋_GB2312"/>
          <w:color w:val="333333"/>
          <w:sz w:val="28"/>
          <w:szCs w:val="28"/>
        </w:rPr>
        <w:t>第二十四条</w:t>
      </w:r>
      <w:r>
        <w:rPr>
          <w:rFonts w:hint="eastAsia" w:ascii="仿宋_GB2312" w:eastAsia="仿宋_GB2312"/>
          <w:color w:val="333333"/>
          <w:sz w:val="28"/>
          <w:szCs w:val="28"/>
        </w:rPr>
        <w:t>　企业违反本办法规定，有下列行为之一的，由国有资产监督管理机构责令改正或者予以通报，造成国有资产损失的，依照有关规定追究企业领导和相关人员的责任：</w:t>
      </w:r>
      <w:r>
        <w:rPr>
          <w:rFonts w:hint="eastAsia" w:ascii="仿宋_GB2312" w:eastAsia="仿宋_GB2312"/>
          <w:color w:val="333333"/>
          <w:sz w:val="28"/>
          <w:szCs w:val="28"/>
        </w:rPr>
        <w:br w:type="textWrapping"/>
      </w:r>
      <w:r>
        <w:rPr>
          <w:rFonts w:hint="eastAsia" w:ascii="仿宋_GB2312" w:eastAsia="仿宋_GB2312"/>
          <w:color w:val="333333"/>
          <w:sz w:val="28"/>
          <w:szCs w:val="28"/>
        </w:rPr>
        <w:t>　　（一）未按本办法规定及时、如实申请办理产权登记的；</w:t>
      </w:r>
      <w:r>
        <w:rPr>
          <w:rFonts w:hint="eastAsia" w:ascii="仿宋_GB2312" w:eastAsia="仿宋_GB2312"/>
          <w:color w:val="333333"/>
          <w:sz w:val="28"/>
          <w:szCs w:val="28"/>
        </w:rPr>
        <w:br w:type="textWrapping"/>
      </w:r>
      <w:r>
        <w:rPr>
          <w:rFonts w:hint="eastAsia" w:ascii="仿宋_GB2312" w:eastAsia="仿宋_GB2312"/>
          <w:color w:val="333333"/>
          <w:sz w:val="28"/>
          <w:szCs w:val="28"/>
        </w:rPr>
        <w:t>　　（二）未按期进行整改的；</w:t>
      </w:r>
      <w:r>
        <w:rPr>
          <w:rFonts w:hint="eastAsia" w:ascii="仿宋_GB2312" w:eastAsia="仿宋_GB2312"/>
          <w:color w:val="333333"/>
          <w:sz w:val="28"/>
          <w:szCs w:val="28"/>
        </w:rPr>
        <w:br w:type="textWrapping"/>
      </w:r>
      <w:r>
        <w:rPr>
          <w:rFonts w:hint="eastAsia" w:ascii="仿宋_GB2312" w:eastAsia="仿宋_GB2312"/>
          <w:color w:val="333333"/>
          <w:sz w:val="28"/>
          <w:szCs w:val="28"/>
        </w:rPr>
        <w:t>　　（三）伪造、涂改产权登记证、登记表的。</w:t>
      </w:r>
    </w:p>
    <w:p>
      <w:pPr>
        <w:pStyle w:val="5"/>
        <w:shd w:val="clear" w:color="auto" w:fill="FFFFFF"/>
        <w:spacing w:before="208" w:beforeAutospacing="0" w:after="0" w:afterAutospacing="0"/>
        <w:jc w:val="center"/>
        <w:rPr>
          <w:rFonts w:ascii="仿宋_GB2312" w:eastAsia="仿宋_GB2312"/>
          <w:b/>
          <w:color w:val="333333"/>
          <w:sz w:val="28"/>
          <w:szCs w:val="28"/>
        </w:rPr>
      </w:pPr>
      <w:r>
        <w:rPr>
          <w:rFonts w:hint="eastAsia" w:ascii="仿宋_GB2312" w:eastAsia="仿宋_GB2312"/>
          <w:b/>
          <w:color w:val="333333"/>
          <w:sz w:val="28"/>
          <w:szCs w:val="28"/>
        </w:rPr>
        <w:t>第五章　附　　则</w:t>
      </w:r>
    </w:p>
    <w:p>
      <w:pPr>
        <w:pStyle w:val="5"/>
        <w:shd w:val="clear" w:color="auto" w:fill="FFFFFF"/>
        <w:spacing w:before="208" w:beforeAutospacing="0" w:after="0" w:afterAutospacing="0"/>
        <w:rPr>
          <w:rFonts w:ascii="仿宋_GB2312" w:eastAsia="仿宋_GB2312"/>
          <w:color w:val="333333"/>
          <w:sz w:val="28"/>
          <w:szCs w:val="28"/>
        </w:rPr>
      </w:pPr>
      <w:r>
        <w:rPr>
          <w:rFonts w:hint="eastAsia" w:ascii="仿宋_GB2312" w:eastAsia="仿宋_GB2312"/>
          <w:color w:val="333333"/>
          <w:sz w:val="28"/>
          <w:szCs w:val="28"/>
        </w:rPr>
        <w:t>　　</w:t>
      </w:r>
      <w:r>
        <w:rPr>
          <w:rStyle w:val="9"/>
          <w:rFonts w:hint="eastAsia" w:ascii="仿宋_GB2312" w:eastAsia="仿宋_GB2312"/>
          <w:color w:val="333333"/>
          <w:sz w:val="28"/>
          <w:szCs w:val="28"/>
        </w:rPr>
        <w:t>第二十五条</w:t>
      </w:r>
      <w:r>
        <w:rPr>
          <w:rFonts w:hint="eastAsia" w:ascii="仿宋_GB2312" w:eastAsia="仿宋_GB2312"/>
          <w:color w:val="333333"/>
          <w:sz w:val="28"/>
          <w:szCs w:val="28"/>
        </w:rPr>
        <w:t>　省级国有资产监督管理机构可以依据本办法制定本地区的具体实施办法。</w:t>
      </w:r>
      <w:r>
        <w:rPr>
          <w:rFonts w:hint="eastAsia" w:ascii="仿宋_GB2312" w:eastAsia="仿宋_GB2312"/>
          <w:color w:val="333333"/>
          <w:sz w:val="28"/>
          <w:szCs w:val="28"/>
        </w:rPr>
        <w:br w:type="textWrapping"/>
      </w:r>
      <w:r>
        <w:rPr>
          <w:rFonts w:hint="eastAsia" w:ascii="仿宋_GB2312" w:eastAsia="仿宋_GB2312"/>
          <w:color w:val="333333"/>
          <w:sz w:val="28"/>
          <w:szCs w:val="28"/>
        </w:rPr>
        <w:t>　　</w:t>
      </w:r>
      <w:r>
        <w:rPr>
          <w:rStyle w:val="9"/>
          <w:rFonts w:hint="eastAsia" w:ascii="仿宋_GB2312" w:eastAsia="仿宋_GB2312"/>
          <w:color w:val="333333"/>
          <w:sz w:val="28"/>
          <w:szCs w:val="28"/>
        </w:rPr>
        <w:t>第二十六条</w:t>
      </w:r>
      <w:r>
        <w:rPr>
          <w:rFonts w:hint="eastAsia" w:ascii="仿宋_GB2312" w:eastAsia="仿宋_GB2312"/>
          <w:color w:val="333333"/>
          <w:sz w:val="28"/>
          <w:szCs w:val="28"/>
        </w:rPr>
        <w:t>　本办法自2012年6月1日起施行。</w:t>
      </w:r>
    </w:p>
    <w:p>
      <w:pPr>
        <w:rPr>
          <w:rFonts w:ascii="仿宋_GB2312" w:eastAsia="仿宋_GB2312"/>
          <w:sz w:val="28"/>
          <w:szCs w:val="28"/>
        </w:rPr>
      </w:pPr>
    </w:p>
    <w:p>
      <w:pPr>
        <w:jc w:val="center"/>
        <w:rPr>
          <w:rFonts w:ascii="仿宋_GB2312" w:eastAsia="仿宋_GB2312" w:cs="Arial" w:hAnsiTheme="minorEastAsia"/>
          <w:b/>
          <w:color w:val="222222"/>
          <w:sz w:val="44"/>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56B20"/>
    <w:rsid w:val="00026201"/>
    <w:rsid w:val="000368B1"/>
    <w:rsid w:val="00047297"/>
    <w:rsid w:val="00083886"/>
    <w:rsid w:val="000C514E"/>
    <w:rsid w:val="001461F4"/>
    <w:rsid w:val="00334B75"/>
    <w:rsid w:val="003A097D"/>
    <w:rsid w:val="00406C9A"/>
    <w:rsid w:val="00505877"/>
    <w:rsid w:val="005138E1"/>
    <w:rsid w:val="005623EA"/>
    <w:rsid w:val="005733B4"/>
    <w:rsid w:val="0059548B"/>
    <w:rsid w:val="005B5F14"/>
    <w:rsid w:val="005D6236"/>
    <w:rsid w:val="00656B20"/>
    <w:rsid w:val="0067489C"/>
    <w:rsid w:val="006D3BF1"/>
    <w:rsid w:val="00730068"/>
    <w:rsid w:val="007660DD"/>
    <w:rsid w:val="007F25D5"/>
    <w:rsid w:val="00841601"/>
    <w:rsid w:val="008A02C0"/>
    <w:rsid w:val="008B1426"/>
    <w:rsid w:val="008D329D"/>
    <w:rsid w:val="0091494F"/>
    <w:rsid w:val="00967EFA"/>
    <w:rsid w:val="00A07FD7"/>
    <w:rsid w:val="00A602F8"/>
    <w:rsid w:val="00A8495C"/>
    <w:rsid w:val="00AC68A4"/>
    <w:rsid w:val="00AD5BDA"/>
    <w:rsid w:val="00AE7DF4"/>
    <w:rsid w:val="00AF485C"/>
    <w:rsid w:val="00C81962"/>
    <w:rsid w:val="00D20CE2"/>
    <w:rsid w:val="00D326F1"/>
    <w:rsid w:val="00D33157"/>
    <w:rsid w:val="00D72D12"/>
    <w:rsid w:val="00E31D11"/>
    <w:rsid w:val="00E40875"/>
    <w:rsid w:val="00EE022E"/>
    <w:rsid w:val="00F57E0B"/>
    <w:rsid w:val="35EA4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1"/>
    <w:semiHidden/>
    <w:unhideWhenUsed/>
    <w:uiPriority w:val="99"/>
    <w:pPr>
      <w:tabs>
        <w:tab w:val="center" w:pos="4153"/>
        <w:tab w:val="right" w:pos="8306"/>
      </w:tabs>
      <w:snapToGrid w:val="0"/>
      <w:jc w:val="left"/>
    </w:pPr>
    <w:rPr>
      <w:sz w:val="18"/>
      <w:szCs w:val="18"/>
    </w:rPr>
  </w:style>
  <w:style w:type="paragraph" w:styleId="4">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22"/>
    <w:rPr>
      <w:b/>
      <w:bCs/>
    </w:rPr>
  </w:style>
  <w:style w:type="character" w:customStyle="1" w:styleId="10">
    <w:name w:val="页眉 Char"/>
    <w:basedOn w:val="8"/>
    <w:link w:val="4"/>
    <w:semiHidden/>
    <w:uiPriority w:val="99"/>
    <w:rPr>
      <w:sz w:val="18"/>
      <w:szCs w:val="18"/>
    </w:rPr>
  </w:style>
  <w:style w:type="character" w:customStyle="1" w:styleId="11">
    <w:name w:val="页脚 Char"/>
    <w:basedOn w:val="8"/>
    <w:link w:val="3"/>
    <w:semiHidden/>
    <w:qFormat/>
    <w:uiPriority w:val="99"/>
    <w:rPr>
      <w:sz w:val="18"/>
      <w:szCs w:val="18"/>
    </w:rPr>
  </w:style>
  <w:style w:type="paragraph" w:styleId="12">
    <w:name w:val="List Paragraph"/>
    <w:basedOn w:val="1"/>
    <w:qFormat/>
    <w:uiPriority w:val="34"/>
    <w:pPr>
      <w:widowControl/>
      <w:ind w:firstLine="420" w:firstLineChars="200"/>
      <w:jc w:val="left"/>
    </w:pPr>
    <w:rPr>
      <w:rFonts w:ascii="宋体" w:hAnsi="宋体" w:eastAsia="宋体" w:cs="宋体"/>
      <w:kern w:val="0"/>
      <w:sz w:val="24"/>
      <w:szCs w:val="24"/>
    </w:rPr>
  </w:style>
  <w:style w:type="character" w:customStyle="1" w:styleId="13">
    <w:name w:val="批注框文本 Char"/>
    <w:basedOn w:val="8"/>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710782-1DF0-4E1C-9753-BDEC3E875E4D}">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11</Pages>
  <Words>602</Words>
  <Characters>3432</Characters>
  <Lines>28</Lines>
  <Paragraphs>8</Paragraphs>
  <TotalTime>117</TotalTime>
  <ScaleCrop>false</ScaleCrop>
  <LinksUpToDate>false</LinksUpToDate>
  <CharactersWithSpaces>4026</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2020-06-16T00:41:00Z</dcterms:created>
  <dc:creator>User</dc:creator>
  <cp:lastModifiedBy>方舟</cp:lastModifiedBy>
  <cp:lastPrinted>2020-07-20T02:27:00Z</cp:lastPrinted>
  <dcterms:modified xsi:type="dcterms:W3CDTF">2020-08-18T00:50:31Z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